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theme/themeOverride1.xml" ContentType="application/vnd.openxmlformats-officedocument.themeOverride+xml"/>
  <Override PartName="/word/charts/chart5.xml" ContentType="application/vnd.openxmlformats-officedocument.drawingml.chart+xml"/>
  <Override PartName="/word/theme/themeOverride2.xml" ContentType="application/vnd.openxmlformats-officedocument.themeOverride+xml"/>
  <Override PartName="/word/charts/chart6.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BB4C64" w14:textId="77777777" w:rsidR="00E74967" w:rsidRPr="001766B3" w:rsidRDefault="00E74967" w:rsidP="007F6CC1">
      <w:pPr>
        <w:widowControl w:val="0"/>
        <w:autoSpaceDE w:val="0"/>
        <w:autoSpaceDN w:val="0"/>
        <w:adjustRightInd w:val="0"/>
        <w:jc w:val="center"/>
        <w:rPr>
          <w:rFonts w:ascii="Cambria" w:hAnsi="Cambria" w:cs="Cambria"/>
          <w:color w:val="1A1A1A"/>
          <w:sz w:val="22"/>
          <w:szCs w:val="22"/>
        </w:rPr>
      </w:pPr>
      <w:r w:rsidRPr="001766B3">
        <w:rPr>
          <w:rFonts w:ascii="Cambria" w:hAnsi="Cambria" w:cs="Cambria"/>
          <w:color w:val="1A1A1A"/>
          <w:sz w:val="22"/>
          <w:szCs w:val="22"/>
        </w:rPr>
        <w:t>THE LAW OF THE TENDENTIAL FALL IN THE RATE OF PROFIT AS A THEORY OF CRISES:</w:t>
      </w:r>
    </w:p>
    <w:p w14:paraId="3B6E868C" w14:textId="77777777" w:rsidR="00E74967" w:rsidRDefault="00E74967" w:rsidP="007F6CC1">
      <w:pPr>
        <w:widowControl w:val="0"/>
        <w:autoSpaceDE w:val="0"/>
        <w:autoSpaceDN w:val="0"/>
        <w:adjustRightInd w:val="0"/>
        <w:jc w:val="center"/>
        <w:rPr>
          <w:rFonts w:ascii="Cambria" w:hAnsi="Cambria" w:cs="Cambria"/>
          <w:color w:val="1A1A1A"/>
          <w:sz w:val="22"/>
          <w:szCs w:val="22"/>
        </w:rPr>
      </w:pPr>
      <w:proofErr w:type="gramStart"/>
      <w:r w:rsidRPr="001766B3">
        <w:rPr>
          <w:rFonts w:ascii="Cambria" w:hAnsi="Cambria" w:cs="Cambria"/>
          <w:color w:val="1A1A1A"/>
          <w:sz w:val="22"/>
          <w:szCs w:val="22"/>
        </w:rPr>
        <w:t>TWELVE REASONS TO STICK TO IT.</w:t>
      </w:r>
      <w:proofErr w:type="gramEnd"/>
    </w:p>
    <w:p w14:paraId="35D16228" w14:textId="77777777" w:rsidR="0001220B" w:rsidRDefault="0001220B" w:rsidP="007F6CC1">
      <w:pPr>
        <w:widowControl w:val="0"/>
        <w:autoSpaceDE w:val="0"/>
        <w:autoSpaceDN w:val="0"/>
        <w:adjustRightInd w:val="0"/>
        <w:jc w:val="center"/>
        <w:rPr>
          <w:rFonts w:ascii="Cambria" w:hAnsi="Cambria" w:cs="Cambria"/>
          <w:color w:val="1A1A1A"/>
          <w:sz w:val="22"/>
          <w:szCs w:val="22"/>
        </w:rPr>
      </w:pPr>
    </w:p>
    <w:p w14:paraId="3CAF7A63" w14:textId="36E9B420" w:rsidR="0001220B" w:rsidRDefault="0001220B" w:rsidP="007F6CC1">
      <w:pPr>
        <w:widowControl w:val="0"/>
        <w:autoSpaceDE w:val="0"/>
        <w:autoSpaceDN w:val="0"/>
        <w:adjustRightInd w:val="0"/>
        <w:jc w:val="center"/>
        <w:rPr>
          <w:rFonts w:ascii="Cambria" w:hAnsi="Cambria" w:cs="Cambria"/>
          <w:color w:val="1A1A1A"/>
          <w:sz w:val="22"/>
          <w:szCs w:val="22"/>
        </w:rPr>
      </w:pPr>
      <w:proofErr w:type="spellStart"/>
      <w:r>
        <w:rPr>
          <w:rFonts w:ascii="Cambria" w:hAnsi="Cambria" w:cs="Cambria"/>
          <w:color w:val="1A1A1A"/>
          <w:sz w:val="22"/>
          <w:szCs w:val="22"/>
        </w:rPr>
        <w:t>G.Carchedi</w:t>
      </w:r>
      <w:proofErr w:type="spellEnd"/>
      <w:r w:rsidR="002E0216">
        <w:rPr>
          <w:rFonts w:ascii="Cambria" w:hAnsi="Cambria" w:cs="Cambria"/>
          <w:color w:val="1A1A1A"/>
          <w:sz w:val="22"/>
          <w:szCs w:val="22"/>
        </w:rPr>
        <w:t xml:space="preserve"> </w:t>
      </w:r>
    </w:p>
    <w:p w14:paraId="336D7C9A" w14:textId="77777777" w:rsidR="0001220B" w:rsidRDefault="0001220B" w:rsidP="007F6CC1">
      <w:pPr>
        <w:widowControl w:val="0"/>
        <w:autoSpaceDE w:val="0"/>
        <w:autoSpaceDN w:val="0"/>
        <w:adjustRightInd w:val="0"/>
        <w:jc w:val="center"/>
        <w:rPr>
          <w:rFonts w:ascii="Cambria" w:hAnsi="Cambria" w:cs="Cambria"/>
          <w:color w:val="1A1A1A"/>
          <w:sz w:val="22"/>
          <w:szCs w:val="22"/>
        </w:rPr>
      </w:pPr>
    </w:p>
    <w:p w14:paraId="0A51F60B" w14:textId="0558AC29" w:rsidR="0001220B" w:rsidRPr="001766B3" w:rsidRDefault="0001220B" w:rsidP="007F6CC1">
      <w:pPr>
        <w:widowControl w:val="0"/>
        <w:autoSpaceDE w:val="0"/>
        <w:autoSpaceDN w:val="0"/>
        <w:adjustRightInd w:val="0"/>
        <w:jc w:val="center"/>
        <w:rPr>
          <w:rFonts w:ascii="Cambria" w:hAnsi="Cambria" w:cs="Cambria"/>
          <w:color w:val="1A1A1A"/>
          <w:sz w:val="22"/>
          <w:szCs w:val="22"/>
        </w:rPr>
      </w:pPr>
      <w:r>
        <w:rPr>
          <w:rFonts w:ascii="Cambria" w:hAnsi="Cambria" w:cs="Cambria"/>
          <w:color w:val="1A1A1A"/>
          <w:sz w:val="22"/>
          <w:szCs w:val="22"/>
        </w:rPr>
        <w:t>Paper presented at the Critique Conference, April 11, 2014</w:t>
      </w:r>
    </w:p>
    <w:p w14:paraId="1A2C8A1E" w14:textId="77777777" w:rsidR="00E74967" w:rsidRPr="001766B3" w:rsidRDefault="00E74967" w:rsidP="00E74967">
      <w:pPr>
        <w:widowControl w:val="0"/>
        <w:autoSpaceDE w:val="0"/>
        <w:autoSpaceDN w:val="0"/>
        <w:adjustRightInd w:val="0"/>
        <w:rPr>
          <w:rFonts w:ascii="Cambria" w:hAnsi="Cambria" w:cs="Cambria"/>
          <w:color w:val="1A1A1A"/>
          <w:sz w:val="22"/>
          <w:szCs w:val="22"/>
        </w:rPr>
      </w:pPr>
    </w:p>
    <w:p w14:paraId="39BB71E6" w14:textId="21DCD442" w:rsidR="00E74967" w:rsidRPr="001766B3" w:rsidRDefault="00E74967" w:rsidP="00E74967">
      <w:pPr>
        <w:widowControl w:val="0"/>
        <w:autoSpaceDE w:val="0"/>
        <w:autoSpaceDN w:val="0"/>
        <w:adjustRightInd w:val="0"/>
        <w:rPr>
          <w:rFonts w:ascii="Cambria" w:hAnsi="Cambria" w:cs="Cambria"/>
          <w:color w:val="262626"/>
          <w:sz w:val="22"/>
          <w:szCs w:val="22"/>
        </w:rPr>
      </w:pPr>
      <w:r w:rsidRPr="001766B3">
        <w:rPr>
          <w:rFonts w:ascii="Cambria" w:hAnsi="Cambria" w:cs="Cambria"/>
          <w:color w:val="262626"/>
          <w:sz w:val="22"/>
          <w:szCs w:val="22"/>
        </w:rPr>
        <w:t xml:space="preserve">The Law has been the </w:t>
      </w:r>
      <w:r w:rsidR="00FB5CF8">
        <w:rPr>
          <w:rFonts w:ascii="Cambria" w:hAnsi="Cambria" w:cs="Cambria"/>
          <w:color w:val="262626"/>
          <w:sz w:val="22"/>
          <w:szCs w:val="22"/>
        </w:rPr>
        <w:t>aim</w:t>
      </w:r>
      <w:r w:rsidRPr="001766B3">
        <w:rPr>
          <w:rFonts w:ascii="Cambria" w:hAnsi="Cambria" w:cs="Cambria"/>
          <w:color w:val="262626"/>
          <w:sz w:val="22"/>
          <w:szCs w:val="22"/>
        </w:rPr>
        <w:t xml:space="preserve"> of recurrent attacks. </w:t>
      </w:r>
      <w:r w:rsidR="00343FF3">
        <w:rPr>
          <w:rFonts w:ascii="Cambria" w:hAnsi="Cambria" w:cs="Cambria"/>
          <w:color w:val="262626"/>
          <w:sz w:val="22"/>
          <w:szCs w:val="22"/>
        </w:rPr>
        <w:t>If an</w:t>
      </w:r>
      <w:r w:rsidRPr="001766B3">
        <w:rPr>
          <w:rFonts w:ascii="Cambria" w:hAnsi="Cambria" w:cs="Cambria"/>
          <w:color w:val="262626"/>
          <w:sz w:val="22"/>
          <w:szCs w:val="22"/>
        </w:rPr>
        <w:t xml:space="preserve"> attack </w:t>
      </w:r>
      <w:r w:rsidR="00FB5CF8" w:rsidRPr="001766B3">
        <w:rPr>
          <w:rFonts w:ascii="Cambria" w:hAnsi="Cambria" w:cs="Cambria"/>
          <w:color w:val="262626"/>
          <w:sz w:val="22"/>
          <w:szCs w:val="22"/>
        </w:rPr>
        <w:t>fades</w:t>
      </w:r>
      <w:r w:rsidRPr="001766B3">
        <w:rPr>
          <w:rFonts w:ascii="Cambria" w:hAnsi="Cambria" w:cs="Cambria"/>
          <w:color w:val="262626"/>
          <w:sz w:val="22"/>
          <w:szCs w:val="22"/>
        </w:rPr>
        <w:t>, a new one emerges from the arsenal of Marx’s cr</w:t>
      </w:r>
      <w:r w:rsidR="00FC67EA">
        <w:rPr>
          <w:rFonts w:ascii="Cambria" w:hAnsi="Cambria" w:cs="Cambria"/>
          <w:color w:val="262626"/>
          <w:sz w:val="22"/>
          <w:szCs w:val="22"/>
        </w:rPr>
        <w:t>itics. I shall mention twelve</w:t>
      </w:r>
      <w:r w:rsidRPr="001766B3">
        <w:rPr>
          <w:rFonts w:ascii="Cambria" w:hAnsi="Cambria" w:cs="Cambria"/>
          <w:color w:val="262626"/>
          <w:sz w:val="22"/>
          <w:szCs w:val="22"/>
        </w:rPr>
        <w:t xml:space="preserve"> such critiques, drawn principally from the critics’ current repertoire. I </w:t>
      </w:r>
      <w:r w:rsidR="006901D4">
        <w:rPr>
          <w:rFonts w:ascii="Cambria" w:hAnsi="Cambria" w:cs="Cambria"/>
          <w:color w:val="262626"/>
          <w:sz w:val="22"/>
          <w:szCs w:val="22"/>
        </w:rPr>
        <w:t xml:space="preserve">shall </w:t>
      </w:r>
      <w:r w:rsidRPr="001766B3">
        <w:rPr>
          <w:rFonts w:ascii="Cambria" w:hAnsi="Cambria" w:cs="Cambria"/>
          <w:color w:val="262626"/>
          <w:sz w:val="22"/>
          <w:szCs w:val="22"/>
        </w:rPr>
        <w:t xml:space="preserve">use deflated data for the material goods sectors </w:t>
      </w:r>
      <w:r w:rsidR="007F6CC1" w:rsidRPr="001766B3">
        <w:rPr>
          <w:rFonts w:ascii="Cambria" w:hAnsi="Cambria" w:cs="Cambria"/>
          <w:color w:val="262626"/>
          <w:sz w:val="22"/>
          <w:szCs w:val="22"/>
        </w:rPr>
        <w:t xml:space="preserve">(a proxy for the productive sectors) </w:t>
      </w:r>
      <w:r w:rsidRPr="001766B3">
        <w:rPr>
          <w:rFonts w:ascii="Cambria" w:hAnsi="Cambria" w:cs="Cambria"/>
          <w:color w:val="262626"/>
          <w:sz w:val="22"/>
          <w:szCs w:val="22"/>
        </w:rPr>
        <w:t>in the US. </w:t>
      </w:r>
    </w:p>
    <w:p w14:paraId="670D4597" w14:textId="77777777" w:rsidR="00E74967" w:rsidRPr="001766B3" w:rsidRDefault="00E74967" w:rsidP="00E74967">
      <w:pPr>
        <w:widowControl w:val="0"/>
        <w:autoSpaceDE w:val="0"/>
        <w:autoSpaceDN w:val="0"/>
        <w:adjustRightInd w:val="0"/>
        <w:rPr>
          <w:rFonts w:ascii="Cambria" w:hAnsi="Cambria" w:cs="Cambria"/>
          <w:color w:val="262626"/>
          <w:sz w:val="22"/>
          <w:szCs w:val="22"/>
        </w:rPr>
      </w:pPr>
    </w:p>
    <w:p w14:paraId="0333A52D" w14:textId="3EB006D8" w:rsidR="00E74967" w:rsidRPr="001766B3" w:rsidRDefault="00E74967" w:rsidP="00E74967">
      <w:pPr>
        <w:widowControl w:val="0"/>
        <w:autoSpaceDE w:val="0"/>
        <w:autoSpaceDN w:val="0"/>
        <w:adjustRightInd w:val="0"/>
        <w:rPr>
          <w:rFonts w:ascii="Cambria" w:hAnsi="Cambria" w:cs="Cambria"/>
          <w:color w:val="262626"/>
          <w:sz w:val="22"/>
          <w:szCs w:val="22"/>
        </w:rPr>
      </w:pPr>
      <w:r w:rsidRPr="001766B3">
        <w:rPr>
          <w:rFonts w:ascii="Cambria" w:hAnsi="Cambria" w:cs="Cambria"/>
          <w:b/>
          <w:color w:val="262626"/>
          <w:sz w:val="22"/>
          <w:szCs w:val="22"/>
        </w:rPr>
        <w:t>1. First critique</w:t>
      </w:r>
      <w:r w:rsidRPr="001766B3">
        <w:rPr>
          <w:rFonts w:ascii="Cambria" w:hAnsi="Cambria" w:cs="Cambria"/>
          <w:color w:val="262626"/>
          <w:sz w:val="22"/>
          <w:szCs w:val="22"/>
        </w:rPr>
        <w:t xml:space="preserve">. The Law </w:t>
      </w:r>
      <w:r w:rsidR="00FB5CF8">
        <w:rPr>
          <w:rFonts w:ascii="Cambria" w:hAnsi="Cambria" w:cs="Cambria"/>
          <w:color w:val="262626"/>
          <w:sz w:val="22"/>
          <w:szCs w:val="22"/>
        </w:rPr>
        <w:t xml:space="preserve">holds </w:t>
      </w:r>
      <w:r w:rsidRPr="001766B3">
        <w:rPr>
          <w:rFonts w:ascii="Cambria" w:hAnsi="Cambria" w:cs="Cambria"/>
          <w:color w:val="262626"/>
          <w:sz w:val="22"/>
          <w:szCs w:val="22"/>
        </w:rPr>
        <w:t xml:space="preserve">that </w:t>
      </w:r>
      <w:r w:rsidRPr="007C15D9">
        <w:rPr>
          <w:rFonts w:ascii="Cambria" w:hAnsi="Cambria" w:cs="Cambria"/>
          <w:iCs/>
          <w:color w:val="262626"/>
          <w:sz w:val="22"/>
          <w:szCs w:val="22"/>
        </w:rPr>
        <w:t>technological innovations are productivity increasing but labour shedding.</w:t>
      </w:r>
      <w:r w:rsidRPr="007C15D9">
        <w:rPr>
          <w:rFonts w:ascii="Cambria" w:hAnsi="Cambria" w:cs="Cambria"/>
          <w:color w:val="262626"/>
          <w:sz w:val="22"/>
          <w:szCs w:val="22"/>
        </w:rPr>
        <w:t xml:space="preserve"> T</w:t>
      </w:r>
      <w:r w:rsidRPr="001766B3">
        <w:rPr>
          <w:rFonts w:ascii="Cambria" w:hAnsi="Cambria" w:cs="Cambria"/>
          <w:color w:val="262626"/>
          <w:sz w:val="22"/>
          <w:szCs w:val="22"/>
        </w:rPr>
        <w:t>his is questioned. However, the following chart leaves no doubts</w:t>
      </w:r>
    </w:p>
    <w:p w14:paraId="6F54515D" w14:textId="77777777" w:rsidR="00E74967" w:rsidRPr="001766B3" w:rsidRDefault="00E74967" w:rsidP="00E74967">
      <w:pPr>
        <w:widowControl w:val="0"/>
        <w:autoSpaceDE w:val="0"/>
        <w:autoSpaceDN w:val="0"/>
        <w:adjustRightInd w:val="0"/>
        <w:rPr>
          <w:rFonts w:ascii="Cambria" w:hAnsi="Cambria" w:cs="Cambria"/>
          <w:color w:val="262626"/>
          <w:sz w:val="22"/>
          <w:szCs w:val="22"/>
        </w:rPr>
      </w:pPr>
    </w:p>
    <w:p w14:paraId="10C24876" w14:textId="77777777" w:rsidR="00E74967" w:rsidRPr="001766B3" w:rsidRDefault="00E74967" w:rsidP="00E74967">
      <w:pPr>
        <w:widowControl w:val="0"/>
        <w:autoSpaceDE w:val="0"/>
        <w:autoSpaceDN w:val="0"/>
        <w:adjustRightInd w:val="0"/>
        <w:rPr>
          <w:rFonts w:ascii="Cambria" w:hAnsi="Cambria" w:cs="Cambria"/>
          <w:color w:val="262626"/>
          <w:sz w:val="22"/>
          <w:szCs w:val="22"/>
        </w:rPr>
      </w:pPr>
      <w:r w:rsidRPr="001766B3">
        <w:rPr>
          <w:rFonts w:ascii="Cambria" w:hAnsi="Cambria" w:cs="Cambria"/>
          <w:color w:val="262626"/>
          <w:sz w:val="22"/>
          <w:szCs w:val="22"/>
        </w:rPr>
        <w:t>Chart 1. </w:t>
      </w:r>
    </w:p>
    <w:p w14:paraId="0862A206" w14:textId="77777777" w:rsidR="00E74967" w:rsidRPr="001766B3" w:rsidRDefault="00E74967" w:rsidP="00E74967">
      <w:pPr>
        <w:widowControl w:val="0"/>
        <w:autoSpaceDE w:val="0"/>
        <w:autoSpaceDN w:val="0"/>
        <w:adjustRightInd w:val="0"/>
        <w:rPr>
          <w:rFonts w:ascii="Cambria" w:hAnsi="Cambria" w:cs="Cambria"/>
          <w:color w:val="1A1A1A"/>
        </w:rPr>
      </w:pPr>
      <w:r w:rsidRPr="001766B3">
        <w:rPr>
          <w:rFonts w:ascii="Cambria" w:hAnsi="Cambria" w:cs="Cambria"/>
          <w:color w:val="1A1A1A"/>
        </w:rPr>
        <w:t> </w:t>
      </w:r>
      <w:r w:rsidRPr="001766B3">
        <w:rPr>
          <w:noProof/>
          <w:lang w:val="en-US"/>
        </w:rPr>
        <w:drawing>
          <wp:inline distT="0" distB="0" distL="0" distR="0" wp14:anchorId="1FEFCD88" wp14:editId="4DAC8D95">
            <wp:extent cx="4572000" cy="2743200"/>
            <wp:effectExtent l="0" t="0" r="25400" b="2540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4AEE7AC6" w14:textId="77777777" w:rsidR="00E74967" w:rsidRPr="001766B3" w:rsidRDefault="00E74967" w:rsidP="00E74967">
      <w:pPr>
        <w:widowControl w:val="0"/>
        <w:autoSpaceDE w:val="0"/>
        <w:autoSpaceDN w:val="0"/>
        <w:adjustRightInd w:val="0"/>
        <w:rPr>
          <w:rFonts w:ascii="Cambria" w:hAnsi="Cambria" w:cs="Cambria"/>
          <w:color w:val="1A1A1A"/>
        </w:rPr>
      </w:pPr>
    </w:p>
    <w:p w14:paraId="39E8D96B" w14:textId="142C3206" w:rsidR="00E74967" w:rsidRPr="001766B3" w:rsidRDefault="00E74967" w:rsidP="00E74967">
      <w:pPr>
        <w:widowControl w:val="0"/>
        <w:autoSpaceDE w:val="0"/>
        <w:autoSpaceDN w:val="0"/>
        <w:adjustRightInd w:val="0"/>
        <w:rPr>
          <w:rFonts w:ascii="Cambria" w:hAnsi="Cambria" w:cs="Cambria"/>
          <w:color w:val="262626"/>
          <w:sz w:val="22"/>
          <w:szCs w:val="22"/>
        </w:rPr>
      </w:pPr>
      <w:r w:rsidRPr="001766B3">
        <w:rPr>
          <w:rFonts w:ascii="Cambria" w:hAnsi="Cambria" w:cs="Cambria"/>
          <w:color w:val="262626"/>
          <w:sz w:val="22"/>
          <w:szCs w:val="22"/>
        </w:rPr>
        <w:t xml:space="preserve"> The </w:t>
      </w:r>
      <w:r w:rsidR="00343FF3">
        <w:rPr>
          <w:rFonts w:ascii="Cambria" w:hAnsi="Cambria" w:cs="Cambria"/>
          <w:color w:val="262626"/>
          <w:sz w:val="22"/>
          <w:szCs w:val="22"/>
        </w:rPr>
        <w:t xml:space="preserve">L/A ratio indicates the </w:t>
      </w:r>
      <w:r w:rsidRPr="001766B3">
        <w:rPr>
          <w:rFonts w:ascii="Cambria" w:hAnsi="Cambria" w:cs="Cambria"/>
          <w:color w:val="262626"/>
          <w:sz w:val="22"/>
          <w:szCs w:val="22"/>
        </w:rPr>
        <w:t>number of labourers (L) per 1 million dollars of assets (A)</w:t>
      </w:r>
      <w:r w:rsidR="00343FF3">
        <w:rPr>
          <w:rFonts w:ascii="Cambria" w:hAnsi="Cambria" w:cs="Cambria"/>
          <w:color w:val="262626"/>
          <w:sz w:val="22"/>
          <w:szCs w:val="22"/>
        </w:rPr>
        <w:t>. It</w:t>
      </w:r>
      <w:r w:rsidRPr="001766B3">
        <w:rPr>
          <w:rFonts w:ascii="Cambria" w:hAnsi="Cambria" w:cs="Cambria"/>
          <w:color w:val="262626"/>
          <w:sz w:val="22"/>
          <w:szCs w:val="22"/>
        </w:rPr>
        <w:t xml:space="preserve"> falls from 75 in 1947 to 6 in 2010 (</w:t>
      </w:r>
      <w:r w:rsidR="007574CD">
        <w:rPr>
          <w:rFonts w:ascii="Cambria" w:hAnsi="Cambria" w:cs="Cambria"/>
          <w:color w:val="262626"/>
          <w:sz w:val="22"/>
          <w:szCs w:val="22"/>
        </w:rPr>
        <w:t xml:space="preserve">this is the </w:t>
      </w:r>
      <w:r w:rsidRPr="001766B3">
        <w:rPr>
          <w:rFonts w:ascii="Cambria" w:hAnsi="Cambria" w:cs="Cambria"/>
          <w:color w:val="262626"/>
          <w:sz w:val="22"/>
          <w:szCs w:val="22"/>
        </w:rPr>
        <w:t>labour shedding effect) while productivity increases from 28 million</w:t>
      </w:r>
      <w:r w:rsidR="00147B5D">
        <w:rPr>
          <w:rFonts w:ascii="Cambria" w:hAnsi="Cambria" w:cs="Cambria"/>
          <w:color w:val="262626"/>
          <w:sz w:val="22"/>
          <w:szCs w:val="22"/>
        </w:rPr>
        <w:t xml:space="preserve"> dollars</w:t>
      </w:r>
      <w:r w:rsidRPr="001766B3">
        <w:rPr>
          <w:rFonts w:ascii="Cambria" w:hAnsi="Cambria" w:cs="Cambria"/>
          <w:color w:val="262626"/>
          <w:sz w:val="22"/>
          <w:szCs w:val="22"/>
        </w:rPr>
        <w:t xml:space="preserve"> per labourer in 1947 to 231 </w:t>
      </w:r>
      <w:r w:rsidR="00343FF3">
        <w:rPr>
          <w:rFonts w:ascii="Cambria" w:hAnsi="Cambria" w:cs="Cambria"/>
          <w:color w:val="262626"/>
          <w:sz w:val="22"/>
          <w:szCs w:val="22"/>
        </w:rPr>
        <w:t xml:space="preserve">million </w:t>
      </w:r>
      <w:r w:rsidRPr="001766B3">
        <w:rPr>
          <w:rFonts w:ascii="Cambria" w:hAnsi="Cambria" w:cs="Cambria"/>
          <w:color w:val="262626"/>
          <w:sz w:val="22"/>
          <w:szCs w:val="22"/>
        </w:rPr>
        <w:t>in 2010. </w:t>
      </w:r>
    </w:p>
    <w:p w14:paraId="34E9AF65" w14:textId="77777777" w:rsidR="00E74967" w:rsidRPr="001766B3" w:rsidRDefault="00E74967" w:rsidP="00E74967">
      <w:pPr>
        <w:widowControl w:val="0"/>
        <w:autoSpaceDE w:val="0"/>
        <w:autoSpaceDN w:val="0"/>
        <w:adjustRightInd w:val="0"/>
        <w:rPr>
          <w:rFonts w:ascii="Cambria" w:hAnsi="Cambria" w:cs="Cambria"/>
          <w:color w:val="262626"/>
          <w:sz w:val="22"/>
          <w:szCs w:val="22"/>
        </w:rPr>
      </w:pPr>
    </w:p>
    <w:p w14:paraId="03FA8126" w14:textId="3D6AAE95" w:rsidR="00E74967" w:rsidRPr="001766B3" w:rsidRDefault="00E74967" w:rsidP="00E74967">
      <w:pPr>
        <w:widowControl w:val="0"/>
        <w:autoSpaceDE w:val="0"/>
        <w:autoSpaceDN w:val="0"/>
        <w:adjustRightInd w:val="0"/>
        <w:rPr>
          <w:rFonts w:ascii="Cambria" w:hAnsi="Cambria" w:cs="Cambria"/>
          <w:color w:val="262626"/>
          <w:sz w:val="22"/>
          <w:szCs w:val="22"/>
        </w:rPr>
      </w:pPr>
      <w:r w:rsidRPr="001766B3">
        <w:rPr>
          <w:rFonts w:ascii="Cambria" w:hAnsi="Cambria" w:cs="Cambria"/>
          <w:b/>
          <w:color w:val="262626"/>
          <w:sz w:val="22"/>
          <w:szCs w:val="22"/>
        </w:rPr>
        <w:t>Second critique</w:t>
      </w:r>
      <w:proofErr w:type="gramStart"/>
      <w:r w:rsidRPr="001766B3">
        <w:rPr>
          <w:rFonts w:ascii="Cambria" w:hAnsi="Cambria" w:cs="Cambria"/>
          <w:color w:val="262626"/>
          <w:sz w:val="22"/>
          <w:szCs w:val="22"/>
        </w:rPr>
        <w:t>.</w:t>
      </w:r>
      <w:r w:rsidR="00FB5CF8" w:rsidRPr="00FB5CF8">
        <w:rPr>
          <w:rFonts w:ascii="Cambria" w:hAnsi="Cambria" w:cs="Cambria"/>
          <w:color w:val="FF6600"/>
          <w:sz w:val="22"/>
          <w:szCs w:val="22"/>
        </w:rPr>
        <w:t>.</w:t>
      </w:r>
      <w:proofErr w:type="gramEnd"/>
      <w:r w:rsidR="00FB5CF8">
        <w:rPr>
          <w:rFonts w:ascii="Cambria" w:hAnsi="Cambria" w:cs="Cambria"/>
          <w:color w:val="262626"/>
          <w:sz w:val="22"/>
          <w:szCs w:val="22"/>
        </w:rPr>
        <w:t xml:space="preserve"> </w:t>
      </w:r>
      <w:r w:rsidRPr="001766B3">
        <w:rPr>
          <w:rFonts w:ascii="Cambria" w:hAnsi="Cambria" w:cs="Cambria"/>
          <w:color w:val="262626"/>
          <w:sz w:val="22"/>
          <w:szCs w:val="22"/>
        </w:rPr>
        <w:t xml:space="preserve">The Law submits </w:t>
      </w:r>
      <w:r w:rsidRPr="007C15D9">
        <w:rPr>
          <w:rFonts w:ascii="Cambria" w:hAnsi="Cambria" w:cs="Cambria"/>
          <w:color w:val="262626"/>
          <w:sz w:val="22"/>
          <w:szCs w:val="22"/>
        </w:rPr>
        <w:t xml:space="preserve">an </w:t>
      </w:r>
      <w:r w:rsidRPr="007C15D9">
        <w:rPr>
          <w:rFonts w:ascii="Cambria" w:hAnsi="Cambria" w:cs="Cambria"/>
          <w:iCs/>
          <w:color w:val="262626"/>
          <w:sz w:val="22"/>
          <w:szCs w:val="22"/>
        </w:rPr>
        <w:t xml:space="preserve">inverse relation between the OCC and the </w:t>
      </w:r>
      <w:r w:rsidR="007C15D9" w:rsidRPr="007C15D9">
        <w:rPr>
          <w:rFonts w:ascii="Cambria" w:hAnsi="Cambria" w:cs="Cambria"/>
          <w:iCs/>
          <w:color w:val="262626"/>
          <w:sz w:val="22"/>
          <w:szCs w:val="22"/>
        </w:rPr>
        <w:t>ARP</w:t>
      </w:r>
      <w:r w:rsidRPr="001766B3">
        <w:rPr>
          <w:rFonts w:ascii="Cambria" w:hAnsi="Cambria" w:cs="Cambria"/>
          <w:color w:val="262626"/>
          <w:sz w:val="22"/>
          <w:szCs w:val="22"/>
        </w:rPr>
        <w:t xml:space="preserve">, i.e. if the OCC rises, the </w:t>
      </w:r>
      <w:r w:rsidR="00FB5CF8">
        <w:rPr>
          <w:rFonts w:ascii="Cambria" w:hAnsi="Cambria" w:cs="Cambria"/>
          <w:color w:val="262626"/>
          <w:sz w:val="22"/>
          <w:szCs w:val="22"/>
        </w:rPr>
        <w:t>ROP</w:t>
      </w:r>
      <w:r w:rsidRPr="001766B3">
        <w:rPr>
          <w:rFonts w:ascii="Cambria" w:hAnsi="Cambria" w:cs="Cambria"/>
          <w:color w:val="262626"/>
          <w:sz w:val="22"/>
          <w:szCs w:val="22"/>
        </w:rPr>
        <w:t xml:space="preserve"> falls and vice versa. The critique is that technological innovations, by increasing productivity, decrease the unit value of the output, including the mea</w:t>
      </w:r>
      <w:r w:rsidR="003C3FB0">
        <w:rPr>
          <w:rFonts w:ascii="Cambria" w:hAnsi="Cambria" w:cs="Cambria"/>
          <w:color w:val="262626"/>
          <w:sz w:val="22"/>
          <w:szCs w:val="22"/>
        </w:rPr>
        <w:t>ns of production (MOP). When the</w:t>
      </w:r>
      <w:r w:rsidRPr="001766B3">
        <w:rPr>
          <w:rFonts w:ascii="Cambria" w:hAnsi="Cambria" w:cs="Cambria"/>
          <w:color w:val="262626"/>
          <w:sz w:val="22"/>
          <w:szCs w:val="22"/>
        </w:rPr>
        <w:t>se means of production enter the next production process as inputs, the OCC falls on this account. Supposedly, the movement is indeterminate. However, the fall in the OCC is a counter-tendency that can only retard the manifestation of the tendency. This too is shown empirically </w:t>
      </w:r>
    </w:p>
    <w:p w14:paraId="3C393EE9" w14:textId="77777777" w:rsidR="00E74967" w:rsidRPr="001766B3" w:rsidRDefault="00E74967" w:rsidP="00E74967">
      <w:pPr>
        <w:widowControl w:val="0"/>
        <w:autoSpaceDE w:val="0"/>
        <w:autoSpaceDN w:val="0"/>
        <w:adjustRightInd w:val="0"/>
        <w:rPr>
          <w:rFonts w:ascii="Cambria" w:hAnsi="Cambria" w:cs="Cambria"/>
          <w:color w:val="262626"/>
          <w:sz w:val="22"/>
          <w:szCs w:val="22"/>
        </w:rPr>
      </w:pPr>
    </w:p>
    <w:p w14:paraId="7B2F3BA5" w14:textId="77777777" w:rsidR="00E74967" w:rsidRPr="001766B3" w:rsidRDefault="00E74967" w:rsidP="00E74967">
      <w:pPr>
        <w:widowControl w:val="0"/>
        <w:autoSpaceDE w:val="0"/>
        <w:autoSpaceDN w:val="0"/>
        <w:adjustRightInd w:val="0"/>
        <w:rPr>
          <w:rFonts w:ascii="Cambria" w:hAnsi="Cambria" w:cs="Cambria"/>
          <w:color w:val="262626"/>
          <w:sz w:val="22"/>
          <w:szCs w:val="22"/>
        </w:rPr>
      </w:pPr>
    </w:p>
    <w:p w14:paraId="5E102253" w14:textId="77777777" w:rsidR="00E74967" w:rsidRPr="001766B3" w:rsidRDefault="00E74967" w:rsidP="00E74967">
      <w:pPr>
        <w:widowControl w:val="0"/>
        <w:autoSpaceDE w:val="0"/>
        <w:autoSpaceDN w:val="0"/>
        <w:adjustRightInd w:val="0"/>
        <w:rPr>
          <w:rFonts w:ascii="Cambria" w:hAnsi="Cambria" w:cs="Cambria"/>
          <w:color w:val="262626"/>
          <w:sz w:val="22"/>
          <w:szCs w:val="22"/>
        </w:rPr>
      </w:pPr>
    </w:p>
    <w:p w14:paraId="2C01ADE2" w14:textId="77777777" w:rsidR="00E74967" w:rsidRPr="001766B3" w:rsidRDefault="00E74967" w:rsidP="00E74967">
      <w:pPr>
        <w:widowControl w:val="0"/>
        <w:autoSpaceDE w:val="0"/>
        <w:autoSpaceDN w:val="0"/>
        <w:adjustRightInd w:val="0"/>
        <w:rPr>
          <w:rFonts w:ascii="Cambria" w:hAnsi="Cambria" w:cs="Cambria"/>
          <w:color w:val="262626"/>
          <w:sz w:val="22"/>
          <w:szCs w:val="22"/>
        </w:rPr>
      </w:pPr>
    </w:p>
    <w:p w14:paraId="577887E0" w14:textId="77777777" w:rsidR="00E74967" w:rsidRPr="001766B3" w:rsidRDefault="00E74967" w:rsidP="00E74967">
      <w:pPr>
        <w:widowControl w:val="0"/>
        <w:autoSpaceDE w:val="0"/>
        <w:autoSpaceDN w:val="0"/>
        <w:adjustRightInd w:val="0"/>
        <w:rPr>
          <w:rFonts w:ascii="Cambria" w:hAnsi="Cambria" w:cs="Cambria"/>
          <w:color w:val="262626"/>
          <w:sz w:val="22"/>
          <w:szCs w:val="22"/>
        </w:rPr>
      </w:pPr>
    </w:p>
    <w:p w14:paraId="46016EDF" w14:textId="77777777" w:rsidR="00E74967" w:rsidRPr="001766B3" w:rsidRDefault="00E74967" w:rsidP="00E74967">
      <w:pPr>
        <w:widowControl w:val="0"/>
        <w:autoSpaceDE w:val="0"/>
        <w:autoSpaceDN w:val="0"/>
        <w:adjustRightInd w:val="0"/>
        <w:rPr>
          <w:rFonts w:ascii="Cambria" w:hAnsi="Cambria" w:cs="Cambria"/>
          <w:color w:val="262626"/>
          <w:sz w:val="22"/>
          <w:szCs w:val="22"/>
        </w:rPr>
      </w:pPr>
    </w:p>
    <w:p w14:paraId="40073A54" w14:textId="77777777" w:rsidR="00E74967" w:rsidRPr="001766B3" w:rsidRDefault="00E74967" w:rsidP="00E74967">
      <w:pPr>
        <w:widowControl w:val="0"/>
        <w:autoSpaceDE w:val="0"/>
        <w:autoSpaceDN w:val="0"/>
        <w:adjustRightInd w:val="0"/>
        <w:rPr>
          <w:rFonts w:ascii="Cambria" w:hAnsi="Cambria" w:cs="Cambria"/>
          <w:color w:val="262626"/>
          <w:sz w:val="22"/>
          <w:szCs w:val="22"/>
        </w:rPr>
      </w:pPr>
    </w:p>
    <w:p w14:paraId="70556FC5" w14:textId="77777777" w:rsidR="00E74967" w:rsidRPr="001766B3" w:rsidRDefault="00E74967" w:rsidP="00E74967">
      <w:pPr>
        <w:widowControl w:val="0"/>
        <w:autoSpaceDE w:val="0"/>
        <w:autoSpaceDN w:val="0"/>
        <w:adjustRightInd w:val="0"/>
        <w:rPr>
          <w:rFonts w:ascii="Cambria" w:hAnsi="Cambria" w:cs="Cambria"/>
          <w:color w:val="262626"/>
          <w:sz w:val="22"/>
          <w:szCs w:val="22"/>
        </w:rPr>
      </w:pPr>
    </w:p>
    <w:p w14:paraId="18ADCECE" w14:textId="77777777" w:rsidR="00E74967" w:rsidRPr="001766B3" w:rsidRDefault="00E74967" w:rsidP="00E74967">
      <w:pPr>
        <w:widowControl w:val="0"/>
        <w:autoSpaceDE w:val="0"/>
        <w:autoSpaceDN w:val="0"/>
        <w:adjustRightInd w:val="0"/>
        <w:rPr>
          <w:rFonts w:ascii="Cambria" w:hAnsi="Cambria" w:cs="Cambria"/>
          <w:color w:val="262626"/>
          <w:sz w:val="22"/>
          <w:szCs w:val="22"/>
        </w:rPr>
      </w:pPr>
      <w:r w:rsidRPr="001766B3">
        <w:rPr>
          <w:rFonts w:ascii="Cambria" w:hAnsi="Cambria" w:cs="Cambria"/>
          <w:color w:val="262626"/>
          <w:sz w:val="22"/>
          <w:szCs w:val="22"/>
        </w:rPr>
        <w:t>Chart 2.</w:t>
      </w:r>
    </w:p>
    <w:p w14:paraId="5EE38096" w14:textId="77777777" w:rsidR="00E74967" w:rsidRPr="001766B3" w:rsidRDefault="00E74967" w:rsidP="00E74967">
      <w:pPr>
        <w:widowControl w:val="0"/>
        <w:autoSpaceDE w:val="0"/>
        <w:autoSpaceDN w:val="0"/>
        <w:adjustRightInd w:val="0"/>
        <w:rPr>
          <w:rFonts w:ascii="Cambria" w:hAnsi="Cambria" w:cs="Cambria"/>
          <w:color w:val="1A1A1A"/>
        </w:rPr>
      </w:pPr>
      <w:r w:rsidRPr="001766B3">
        <w:rPr>
          <w:rFonts w:ascii="Cambria" w:hAnsi="Cambria" w:cs="Cambria"/>
          <w:color w:val="1A1A1A"/>
        </w:rPr>
        <w:t> </w:t>
      </w:r>
      <w:r w:rsidRPr="001766B3">
        <w:rPr>
          <w:noProof/>
          <w:lang w:val="en-US"/>
        </w:rPr>
        <w:drawing>
          <wp:inline distT="0" distB="0" distL="0" distR="0" wp14:anchorId="6FC0694A" wp14:editId="439425C2">
            <wp:extent cx="5016500" cy="2720975"/>
            <wp:effectExtent l="0" t="0" r="12700" b="2222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8C8ECD5" w14:textId="77777777" w:rsidR="00E74967" w:rsidRPr="001766B3" w:rsidRDefault="00E74967" w:rsidP="00E74967">
      <w:pPr>
        <w:widowControl w:val="0"/>
        <w:autoSpaceDE w:val="0"/>
        <w:autoSpaceDN w:val="0"/>
        <w:adjustRightInd w:val="0"/>
        <w:rPr>
          <w:rFonts w:ascii="Cambria" w:hAnsi="Cambria" w:cs="Cambria"/>
          <w:color w:val="1A1A1A"/>
        </w:rPr>
      </w:pPr>
    </w:p>
    <w:p w14:paraId="2F328843" w14:textId="340FCE53" w:rsidR="00E74967" w:rsidRPr="001766B3" w:rsidRDefault="00E74967" w:rsidP="00E74967">
      <w:pPr>
        <w:widowControl w:val="0"/>
        <w:autoSpaceDE w:val="0"/>
        <w:autoSpaceDN w:val="0"/>
        <w:adjustRightInd w:val="0"/>
        <w:rPr>
          <w:rFonts w:ascii="Cambria" w:hAnsi="Cambria" w:cs="Cambria"/>
          <w:color w:val="262626"/>
          <w:sz w:val="22"/>
          <w:szCs w:val="22"/>
        </w:rPr>
      </w:pPr>
      <w:r w:rsidRPr="001766B3">
        <w:rPr>
          <w:rFonts w:ascii="Cambria" w:hAnsi="Cambria" w:cs="Cambria"/>
          <w:color w:val="262626"/>
          <w:sz w:val="22"/>
          <w:szCs w:val="22"/>
        </w:rPr>
        <w:t xml:space="preserve">Tendentially, if the OCC rises, </w:t>
      </w:r>
      <w:r w:rsidR="00E22E1B">
        <w:rPr>
          <w:rFonts w:ascii="Cambria" w:hAnsi="Cambria" w:cs="Cambria"/>
          <w:color w:val="262626"/>
          <w:sz w:val="22"/>
          <w:szCs w:val="22"/>
        </w:rPr>
        <w:t xml:space="preserve">the </w:t>
      </w:r>
      <w:r w:rsidR="00FB5CF8">
        <w:rPr>
          <w:rFonts w:ascii="Cambria" w:hAnsi="Cambria" w:cs="Cambria"/>
          <w:color w:val="262626"/>
          <w:sz w:val="22"/>
          <w:szCs w:val="22"/>
        </w:rPr>
        <w:t>ROP</w:t>
      </w:r>
      <w:r w:rsidR="00E22E1B">
        <w:rPr>
          <w:rFonts w:ascii="Cambria" w:hAnsi="Cambria" w:cs="Cambria"/>
          <w:color w:val="262626"/>
          <w:sz w:val="22"/>
          <w:szCs w:val="22"/>
        </w:rPr>
        <w:t xml:space="preserve"> falls</w:t>
      </w:r>
      <w:r w:rsidRPr="001766B3">
        <w:rPr>
          <w:rFonts w:ascii="Cambria" w:hAnsi="Cambria" w:cs="Cambria"/>
          <w:color w:val="262626"/>
          <w:sz w:val="22"/>
          <w:szCs w:val="22"/>
        </w:rPr>
        <w:t>. </w:t>
      </w:r>
    </w:p>
    <w:p w14:paraId="40A246DC" w14:textId="77777777" w:rsidR="00E74967" w:rsidRPr="001766B3" w:rsidRDefault="00E74967" w:rsidP="00E74967">
      <w:pPr>
        <w:widowControl w:val="0"/>
        <w:autoSpaceDE w:val="0"/>
        <w:autoSpaceDN w:val="0"/>
        <w:adjustRightInd w:val="0"/>
        <w:rPr>
          <w:rFonts w:ascii="Cambria" w:hAnsi="Cambria" w:cs="Cambria"/>
          <w:color w:val="262626"/>
          <w:sz w:val="22"/>
          <w:szCs w:val="22"/>
        </w:rPr>
      </w:pPr>
    </w:p>
    <w:p w14:paraId="1D8077B1" w14:textId="4DA97C28" w:rsidR="00D75907" w:rsidRDefault="00E74967" w:rsidP="00E74967">
      <w:pPr>
        <w:widowControl w:val="0"/>
        <w:autoSpaceDE w:val="0"/>
        <w:autoSpaceDN w:val="0"/>
        <w:adjustRightInd w:val="0"/>
        <w:rPr>
          <w:rFonts w:ascii="Cambria" w:hAnsi="Cambria" w:cs="Cambria"/>
          <w:color w:val="1A1A1A"/>
          <w:sz w:val="22"/>
          <w:szCs w:val="22"/>
        </w:rPr>
      </w:pPr>
      <w:r w:rsidRPr="001766B3">
        <w:rPr>
          <w:rFonts w:ascii="Cambria" w:hAnsi="Cambria" w:cs="Cambria"/>
          <w:b/>
          <w:color w:val="262626"/>
          <w:sz w:val="22"/>
          <w:szCs w:val="22"/>
        </w:rPr>
        <w:t>Third critique</w:t>
      </w:r>
      <w:r w:rsidRPr="001766B3">
        <w:rPr>
          <w:rFonts w:ascii="Cambria" w:hAnsi="Cambria" w:cs="Cambria"/>
          <w:color w:val="262626"/>
          <w:sz w:val="22"/>
          <w:szCs w:val="22"/>
        </w:rPr>
        <w:t>.</w:t>
      </w:r>
      <w:r w:rsidR="00723211">
        <w:rPr>
          <w:rFonts w:ascii="Cambria" w:hAnsi="Cambria" w:cs="Cambria"/>
          <w:color w:val="FF6600"/>
          <w:sz w:val="22"/>
          <w:szCs w:val="22"/>
        </w:rPr>
        <w:t xml:space="preserve"> </w:t>
      </w:r>
      <w:r w:rsidRPr="007C15D9">
        <w:rPr>
          <w:rFonts w:ascii="Cambria" w:hAnsi="Cambria" w:cs="Cambria"/>
          <w:color w:val="1A1A1A"/>
          <w:sz w:val="22"/>
          <w:szCs w:val="22"/>
        </w:rPr>
        <w:t>There are many causes of falling profitability,</w:t>
      </w:r>
      <w:r w:rsidRPr="001766B3">
        <w:rPr>
          <w:rFonts w:ascii="Cambria" w:hAnsi="Cambria" w:cs="Cambria"/>
          <w:color w:val="1A1A1A"/>
          <w:sz w:val="22"/>
          <w:szCs w:val="22"/>
        </w:rPr>
        <w:t xml:space="preserve"> besides the increase in the OCC due to technological innovations. Thus</w:t>
      </w:r>
      <w:r w:rsidR="00723211">
        <w:rPr>
          <w:rFonts w:ascii="Cambria" w:hAnsi="Cambria" w:cs="Cambria"/>
          <w:color w:val="1A1A1A"/>
          <w:sz w:val="22"/>
          <w:szCs w:val="22"/>
        </w:rPr>
        <w:t>,</w:t>
      </w:r>
      <w:r w:rsidRPr="001766B3">
        <w:rPr>
          <w:rFonts w:ascii="Cambria" w:hAnsi="Cambria" w:cs="Cambria"/>
          <w:color w:val="1A1A1A"/>
          <w:sz w:val="22"/>
          <w:szCs w:val="22"/>
        </w:rPr>
        <w:t xml:space="preserve"> the theory is </w:t>
      </w:r>
      <w:r w:rsidR="003C3FB0">
        <w:rPr>
          <w:rFonts w:ascii="Cambria" w:hAnsi="Cambria" w:cs="Cambria"/>
          <w:color w:val="1A1A1A"/>
          <w:sz w:val="22"/>
          <w:szCs w:val="22"/>
        </w:rPr>
        <w:t xml:space="preserve">deemed to be </w:t>
      </w:r>
      <w:r w:rsidRPr="001766B3">
        <w:rPr>
          <w:rFonts w:ascii="Cambria" w:hAnsi="Cambria" w:cs="Cambria"/>
          <w:color w:val="1A1A1A"/>
          <w:sz w:val="22"/>
          <w:szCs w:val="22"/>
        </w:rPr>
        <w:t>incomplete, or unsophisticated</w:t>
      </w:r>
      <w:r w:rsidR="007C15D9">
        <w:rPr>
          <w:rFonts w:ascii="Cambria" w:hAnsi="Cambria" w:cs="Cambria"/>
          <w:color w:val="1A1A1A"/>
          <w:sz w:val="22"/>
          <w:szCs w:val="22"/>
        </w:rPr>
        <w:t xml:space="preserve"> </w:t>
      </w:r>
      <w:r w:rsidR="007819ED">
        <w:rPr>
          <w:rFonts w:ascii="Cambria" w:hAnsi="Cambria" w:cs="Cambria"/>
          <w:color w:val="1A1A1A"/>
          <w:sz w:val="22"/>
          <w:szCs w:val="22"/>
        </w:rPr>
        <w:t>because it</w:t>
      </w:r>
      <w:r w:rsidR="007C15D9">
        <w:rPr>
          <w:rFonts w:ascii="Cambria" w:hAnsi="Cambria" w:cs="Cambria"/>
          <w:color w:val="1A1A1A"/>
          <w:sz w:val="22"/>
          <w:szCs w:val="22"/>
        </w:rPr>
        <w:t xml:space="preserve"> considers only one cause of falling profitability</w:t>
      </w:r>
      <w:r w:rsidRPr="001766B3">
        <w:rPr>
          <w:rFonts w:ascii="Cambria" w:hAnsi="Cambria" w:cs="Cambria"/>
          <w:color w:val="1A1A1A"/>
          <w:sz w:val="22"/>
          <w:szCs w:val="22"/>
        </w:rPr>
        <w:t xml:space="preserve">. However, the question is whether the other causes of falling profitability are also causes of crises. The critics do not address this point. Take for example, the rise in the price of labour power due to an increase in capital accumulation greater than the rate of growth of the labour force. The point is that firms do not invest to adjust </w:t>
      </w:r>
      <w:r w:rsidR="00D75907">
        <w:rPr>
          <w:rFonts w:ascii="Cambria" w:hAnsi="Cambria" w:cs="Cambria"/>
          <w:color w:val="1A1A1A"/>
          <w:sz w:val="22"/>
          <w:szCs w:val="22"/>
        </w:rPr>
        <w:t xml:space="preserve">to </w:t>
      </w:r>
      <w:r w:rsidRPr="001766B3">
        <w:rPr>
          <w:rFonts w:ascii="Cambria" w:hAnsi="Cambria" w:cs="Cambria"/>
          <w:color w:val="1A1A1A"/>
          <w:sz w:val="22"/>
          <w:szCs w:val="22"/>
        </w:rPr>
        <w:t xml:space="preserve">the supply of labour. They invest to increase their productivity. If labour is in short supply, labour-shedding technologies will increase the supply of labour. If the supply is plentiful (i.e. if labour is unemployed), labour-shedding techniques will further increase it. </w:t>
      </w:r>
    </w:p>
    <w:p w14:paraId="1819CB21" w14:textId="77777777" w:rsidR="00D75907" w:rsidRDefault="00D75907" w:rsidP="00E74967">
      <w:pPr>
        <w:widowControl w:val="0"/>
        <w:autoSpaceDE w:val="0"/>
        <w:autoSpaceDN w:val="0"/>
        <w:adjustRightInd w:val="0"/>
        <w:rPr>
          <w:rFonts w:ascii="Cambria" w:hAnsi="Cambria" w:cs="Cambria"/>
          <w:color w:val="1A1A1A"/>
          <w:sz w:val="22"/>
          <w:szCs w:val="22"/>
        </w:rPr>
      </w:pPr>
    </w:p>
    <w:p w14:paraId="2C853B91" w14:textId="3FF896C3" w:rsidR="00E74967" w:rsidRPr="001766B3" w:rsidRDefault="00E74967" w:rsidP="00E74967">
      <w:pPr>
        <w:widowControl w:val="0"/>
        <w:autoSpaceDE w:val="0"/>
        <w:autoSpaceDN w:val="0"/>
        <w:adjustRightInd w:val="0"/>
        <w:rPr>
          <w:rFonts w:ascii="Cambria" w:hAnsi="Cambria" w:cs="Cambria"/>
          <w:color w:val="1A1A1A"/>
          <w:sz w:val="22"/>
          <w:szCs w:val="22"/>
        </w:rPr>
      </w:pPr>
      <w:r w:rsidRPr="001766B3">
        <w:rPr>
          <w:rFonts w:ascii="Cambria" w:hAnsi="Cambria" w:cs="Cambria"/>
          <w:color w:val="1A1A1A"/>
          <w:sz w:val="22"/>
          <w:szCs w:val="22"/>
        </w:rPr>
        <w:t>At low wage levels</w:t>
      </w:r>
      <w:r w:rsidR="008904C6">
        <w:rPr>
          <w:rFonts w:ascii="Cambria" w:hAnsi="Cambria" w:cs="Cambria"/>
          <w:color w:val="1A1A1A"/>
          <w:sz w:val="22"/>
          <w:szCs w:val="22"/>
        </w:rPr>
        <w:t>,</w:t>
      </w:r>
      <w:r w:rsidRPr="001766B3">
        <w:rPr>
          <w:rFonts w:ascii="Cambria" w:hAnsi="Cambria" w:cs="Cambria"/>
          <w:color w:val="1A1A1A"/>
          <w:sz w:val="22"/>
          <w:szCs w:val="22"/>
        </w:rPr>
        <w:t xml:space="preserve"> some capitals in some countries might not be induced to innovate. But other capitalists in other countries will innovate and due to their higher productivity will eventually force the former to innovate as well. If they fail to innovate, they fall in a state of permanent economic dependency, thus losing value to the former group of countries. But this is a different story. </w:t>
      </w:r>
    </w:p>
    <w:p w14:paraId="0E4AF4C2" w14:textId="77777777" w:rsidR="00E74967" w:rsidRPr="001766B3" w:rsidRDefault="00E74967" w:rsidP="00E74967">
      <w:pPr>
        <w:widowControl w:val="0"/>
        <w:autoSpaceDE w:val="0"/>
        <w:autoSpaceDN w:val="0"/>
        <w:adjustRightInd w:val="0"/>
        <w:rPr>
          <w:rFonts w:ascii="Cambria" w:hAnsi="Cambria" w:cs="Cambria"/>
          <w:color w:val="1A1A1A"/>
          <w:sz w:val="22"/>
          <w:szCs w:val="22"/>
        </w:rPr>
      </w:pPr>
    </w:p>
    <w:p w14:paraId="6C9C6A1A" w14:textId="6383B506" w:rsidR="00E74967" w:rsidRPr="001766B3" w:rsidRDefault="00E74967" w:rsidP="00E74967">
      <w:pPr>
        <w:widowControl w:val="0"/>
        <w:autoSpaceDE w:val="0"/>
        <w:autoSpaceDN w:val="0"/>
        <w:adjustRightInd w:val="0"/>
        <w:rPr>
          <w:rFonts w:ascii="Cambria" w:hAnsi="Cambria" w:cs="Cambria"/>
          <w:color w:val="262626"/>
          <w:sz w:val="22"/>
          <w:szCs w:val="22"/>
        </w:rPr>
      </w:pPr>
      <w:r w:rsidRPr="001766B3">
        <w:rPr>
          <w:rFonts w:ascii="Cambria" w:hAnsi="Cambria" w:cs="Cambria"/>
          <w:b/>
          <w:color w:val="262626"/>
          <w:sz w:val="22"/>
          <w:szCs w:val="22"/>
        </w:rPr>
        <w:t>Fourth critique</w:t>
      </w:r>
      <w:r w:rsidRPr="001766B3">
        <w:rPr>
          <w:rFonts w:ascii="Cambria" w:hAnsi="Cambria" w:cs="Cambria"/>
          <w:color w:val="262626"/>
          <w:sz w:val="22"/>
          <w:szCs w:val="22"/>
        </w:rPr>
        <w:t>.</w:t>
      </w:r>
      <w:r w:rsidR="00723211">
        <w:rPr>
          <w:rFonts w:ascii="Cambria" w:hAnsi="Cambria" w:cs="Cambria"/>
          <w:color w:val="FF6600"/>
          <w:sz w:val="22"/>
          <w:szCs w:val="22"/>
        </w:rPr>
        <w:t xml:space="preserve"> </w:t>
      </w:r>
      <w:r w:rsidRPr="001766B3">
        <w:rPr>
          <w:rFonts w:ascii="Cambria" w:hAnsi="Cambria" w:cs="Cambria"/>
          <w:color w:val="262626"/>
          <w:sz w:val="22"/>
          <w:szCs w:val="22"/>
        </w:rPr>
        <w:t xml:space="preserve">If new technologies reduce profitability, </w:t>
      </w:r>
      <w:r w:rsidR="00723211" w:rsidRPr="007819ED">
        <w:rPr>
          <w:rFonts w:ascii="Cambria" w:hAnsi="Cambria" w:cs="Cambria"/>
          <w:iCs/>
          <w:color w:val="262626"/>
          <w:sz w:val="22"/>
          <w:szCs w:val="22"/>
        </w:rPr>
        <w:t>why should capitalists</w:t>
      </w:r>
      <w:r w:rsidRPr="007819ED">
        <w:rPr>
          <w:rFonts w:ascii="Cambria" w:hAnsi="Cambria" w:cs="Cambria"/>
          <w:iCs/>
          <w:color w:val="262626"/>
          <w:sz w:val="22"/>
          <w:szCs w:val="22"/>
        </w:rPr>
        <w:t xml:space="preserve"> innovate</w:t>
      </w:r>
      <w:r w:rsidRPr="007819ED">
        <w:rPr>
          <w:rFonts w:ascii="Cambria" w:hAnsi="Cambria" w:cs="Cambria"/>
          <w:color w:val="262626"/>
          <w:sz w:val="22"/>
          <w:szCs w:val="22"/>
        </w:rPr>
        <w:t>?</w:t>
      </w:r>
      <w:r w:rsidRPr="001766B3">
        <w:rPr>
          <w:rFonts w:ascii="Cambria" w:hAnsi="Cambria" w:cs="Cambria"/>
          <w:color w:val="262626"/>
          <w:sz w:val="22"/>
          <w:szCs w:val="22"/>
        </w:rPr>
        <w:t xml:space="preserve"> </w:t>
      </w:r>
      <w:r w:rsidR="00723211">
        <w:rPr>
          <w:rFonts w:ascii="Cambria" w:hAnsi="Cambria" w:cs="Cambria"/>
          <w:color w:val="262626"/>
          <w:sz w:val="22"/>
          <w:szCs w:val="22"/>
        </w:rPr>
        <w:t>Clearly,</w:t>
      </w:r>
      <w:r w:rsidRPr="001766B3">
        <w:rPr>
          <w:rFonts w:ascii="Cambria" w:hAnsi="Cambria" w:cs="Cambria"/>
          <w:color w:val="262626"/>
          <w:sz w:val="22"/>
          <w:szCs w:val="22"/>
        </w:rPr>
        <w:t xml:space="preserve"> the innovators realize higher ROPs. If other capitalists follow suit, the general, and thus the average ROP should </w:t>
      </w:r>
      <w:proofErr w:type="gramStart"/>
      <w:r w:rsidRPr="001766B3">
        <w:rPr>
          <w:rFonts w:ascii="Cambria" w:hAnsi="Cambria" w:cs="Cambria"/>
          <w:color w:val="262626"/>
          <w:sz w:val="22"/>
          <w:szCs w:val="22"/>
        </w:rPr>
        <w:t>rise</w:t>
      </w:r>
      <w:proofErr w:type="gramEnd"/>
      <w:r w:rsidRPr="001766B3">
        <w:rPr>
          <w:rFonts w:ascii="Cambria" w:hAnsi="Cambria" w:cs="Cambria"/>
          <w:color w:val="262626"/>
          <w:sz w:val="22"/>
          <w:szCs w:val="22"/>
        </w:rPr>
        <w:t xml:space="preserve">, not fall. This is in essence </w:t>
      </w:r>
      <w:proofErr w:type="spellStart"/>
      <w:r w:rsidRPr="001766B3">
        <w:rPr>
          <w:rFonts w:ascii="Cambria" w:hAnsi="Cambria" w:cs="Cambria"/>
          <w:color w:val="262626"/>
          <w:sz w:val="22"/>
          <w:szCs w:val="22"/>
        </w:rPr>
        <w:t>Okishio’s</w:t>
      </w:r>
      <w:proofErr w:type="spellEnd"/>
      <w:r w:rsidRPr="001766B3">
        <w:rPr>
          <w:rFonts w:ascii="Cambria" w:hAnsi="Cambria" w:cs="Cambria"/>
          <w:color w:val="262626"/>
          <w:sz w:val="22"/>
          <w:szCs w:val="22"/>
        </w:rPr>
        <w:t xml:space="preserve"> standpoint.</w:t>
      </w:r>
    </w:p>
    <w:p w14:paraId="479F470E" w14:textId="77777777" w:rsidR="00E74967" w:rsidRPr="001766B3" w:rsidRDefault="00E74967" w:rsidP="00E74967">
      <w:pPr>
        <w:widowControl w:val="0"/>
        <w:autoSpaceDE w:val="0"/>
        <w:autoSpaceDN w:val="0"/>
        <w:adjustRightInd w:val="0"/>
        <w:rPr>
          <w:rFonts w:ascii="Cambria" w:hAnsi="Cambria" w:cs="Cambria"/>
          <w:color w:val="262626"/>
          <w:sz w:val="22"/>
          <w:szCs w:val="22"/>
        </w:rPr>
      </w:pPr>
    </w:p>
    <w:p w14:paraId="4475B53C" w14:textId="5AB1E1C7" w:rsidR="00E74967" w:rsidRPr="001766B3" w:rsidRDefault="00E74967" w:rsidP="00E74967">
      <w:pPr>
        <w:widowControl w:val="0"/>
        <w:autoSpaceDE w:val="0"/>
        <w:autoSpaceDN w:val="0"/>
        <w:adjustRightInd w:val="0"/>
        <w:rPr>
          <w:rFonts w:ascii="Cambria" w:hAnsi="Cambria" w:cs="Cambria"/>
          <w:color w:val="262626"/>
          <w:sz w:val="22"/>
          <w:szCs w:val="22"/>
        </w:rPr>
      </w:pPr>
      <w:r w:rsidRPr="001766B3">
        <w:rPr>
          <w:rFonts w:ascii="Cambria" w:hAnsi="Cambria" w:cs="Cambria"/>
          <w:color w:val="262626"/>
          <w:sz w:val="22"/>
          <w:szCs w:val="22"/>
        </w:rPr>
        <w:t xml:space="preserve">This critique overlooks the labour shedding nature of technological innovations. The technological leaders increase efficiency but, by investing in high OCC MOP, i.e. by shedding labour, also create less value and surplus value. Nevertheless, they increase their own ROP because, by selling a greater output at the same price as that of the smaller output of the technologically backward capitals, they appropriate a share of the latters’ surplus value. The </w:t>
      </w:r>
      <w:r w:rsidRPr="001766B3">
        <w:rPr>
          <w:rFonts w:ascii="Cambria" w:hAnsi="Cambria" w:cs="Cambria"/>
          <w:color w:val="262626"/>
          <w:sz w:val="22"/>
          <w:szCs w:val="22"/>
        </w:rPr>
        <w:lastRenderedPageBreak/>
        <w:t>former increase their ROP at the cost of the latter</w:t>
      </w:r>
      <w:r w:rsidR="00AB1158">
        <w:rPr>
          <w:rFonts w:ascii="Cambria" w:hAnsi="Cambria" w:cs="Cambria"/>
          <w:color w:val="262626"/>
          <w:sz w:val="22"/>
          <w:szCs w:val="22"/>
        </w:rPr>
        <w:t>. T</w:t>
      </w:r>
      <w:r w:rsidRPr="001766B3">
        <w:rPr>
          <w:rFonts w:ascii="Cambria" w:hAnsi="Cambria" w:cs="Cambria"/>
          <w:color w:val="262626"/>
          <w:sz w:val="22"/>
          <w:szCs w:val="22"/>
        </w:rPr>
        <w:t>he total value and surplus value as well as the ARP fall. </w:t>
      </w:r>
    </w:p>
    <w:p w14:paraId="72B68DC5" w14:textId="77777777" w:rsidR="00E74967" w:rsidRPr="001766B3" w:rsidRDefault="00E74967" w:rsidP="00E74967">
      <w:pPr>
        <w:widowControl w:val="0"/>
        <w:autoSpaceDE w:val="0"/>
        <w:autoSpaceDN w:val="0"/>
        <w:adjustRightInd w:val="0"/>
        <w:rPr>
          <w:rFonts w:ascii="Cambria" w:hAnsi="Cambria" w:cs="Cambria"/>
          <w:color w:val="262626"/>
          <w:sz w:val="22"/>
          <w:szCs w:val="22"/>
        </w:rPr>
      </w:pPr>
    </w:p>
    <w:p w14:paraId="6069A9A3" w14:textId="7B004728" w:rsidR="00E74967" w:rsidRPr="001766B3" w:rsidRDefault="00E74967" w:rsidP="00E74967">
      <w:pPr>
        <w:widowControl w:val="0"/>
        <w:autoSpaceDE w:val="0"/>
        <w:autoSpaceDN w:val="0"/>
        <w:adjustRightInd w:val="0"/>
        <w:rPr>
          <w:rFonts w:ascii="Cambria" w:hAnsi="Cambria" w:cs="Cambria"/>
          <w:color w:val="262626"/>
          <w:sz w:val="22"/>
          <w:szCs w:val="22"/>
        </w:rPr>
      </w:pPr>
      <w:proofErr w:type="spellStart"/>
      <w:r w:rsidRPr="001766B3">
        <w:rPr>
          <w:rFonts w:ascii="Cambria" w:hAnsi="Cambria" w:cs="Cambria"/>
          <w:color w:val="262626"/>
          <w:sz w:val="22"/>
          <w:szCs w:val="22"/>
        </w:rPr>
        <w:t>Okishio</w:t>
      </w:r>
      <w:proofErr w:type="spellEnd"/>
      <w:r w:rsidRPr="001766B3">
        <w:rPr>
          <w:rFonts w:ascii="Cambria" w:hAnsi="Cambria" w:cs="Cambria"/>
          <w:color w:val="262626"/>
          <w:sz w:val="22"/>
          <w:szCs w:val="22"/>
        </w:rPr>
        <w:t xml:space="preserve"> has surreptitiously replaced Marx’s notion of labour as value creating activity </w:t>
      </w:r>
      <w:r w:rsidR="00F9658D">
        <w:rPr>
          <w:rFonts w:ascii="Cambria" w:hAnsi="Cambria" w:cs="Cambria"/>
          <w:color w:val="262626"/>
          <w:sz w:val="22"/>
          <w:szCs w:val="22"/>
        </w:rPr>
        <w:t xml:space="preserve">(the point of view of labour) </w:t>
      </w:r>
      <w:r w:rsidRPr="001766B3">
        <w:rPr>
          <w:rFonts w:ascii="Cambria" w:hAnsi="Cambria" w:cs="Cambria"/>
          <w:color w:val="262626"/>
          <w:sz w:val="22"/>
          <w:szCs w:val="22"/>
        </w:rPr>
        <w:t>with the bourgeois notion of labour as a cost</w:t>
      </w:r>
      <w:r w:rsidR="00F9658D">
        <w:rPr>
          <w:rFonts w:ascii="Cambria" w:hAnsi="Cambria" w:cs="Cambria"/>
          <w:color w:val="262626"/>
          <w:sz w:val="22"/>
          <w:szCs w:val="22"/>
        </w:rPr>
        <w:t xml:space="preserve"> (the point of view of capital)</w:t>
      </w:r>
      <w:r w:rsidRPr="001766B3">
        <w:rPr>
          <w:rFonts w:ascii="Cambria" w:hAnsi="Cambria" w:cs="Cambria"/>
          <w:color w:val="262626"/>
          <w:sz w:val="22"/>
          <w:szCs w:val="22"/>
        </w:rPr>
        <w:t xml:space="preserve">. This is a capital sin, if not for an </w:t>
      </w:r>
      <w:proofErr w:type="spellStart"/>
      <w:r w:rsidRPr="001766B3">
        <w:rPr>
          <w:rFonts w:ascii="Cambria" w:hAnsi="Cambria" w:cs="Cambria"/>
          <w:color w:val="262626"/>
          <w:sz w:val="22"/>
          <w:szCs w:val="22"/>
        </w:rPr>
        <w:t>Okishian</w:t>
      </w:r>
      <w:proofErr w:type="spellEnd"/>
      <w:r w:rsidRPr="001766B3">
        <w:rPr>
          <w:rFonts w:ascii="Cambria" w:hAnsi="Cambria" w:cs="Cambria"/>
          <w:color w:val="262626"/>
          <w:sz w:val="22"/>
          <w:szCs w:val="22"/>
        </w:rPr>
        <w:t>, surely for a Marxist.</w:t>
      </w:r>
    </w:p>
    <w:p w14:paraId="509DC1C8" w14:textId="77777777" w:rsidR="00E74967" w:rsidRPr="001766B3" w:rsidRDefault="00E74967" w:rsidP="00E74967">
      <w:pPr>
        <w:widowControl w:val="0"/>
        <w:autoSpaceDE w:val="0"/>
        <w:autoSpaceDN w:val="0"/>
        <w:adjustRightInd w:val="0"/>
        <w:rPr>
          <w:rFonts w:ascii="Cambria" w:hAnsi="Cambria" w:cs="Cambria"/>
          <w:color w:val="262626"/>
          <w:sz w:val="22"/>
          <w:szCs w:val="22"/>
        </w:rPr>
      </w:pPr>
    </w:p>
    <w:p w14:paraId="6643BDB5" w14:textId="670EA686" w:rsidR="006B019C" w:rsidRDefault="00E74967" w:rsidP="00E74967">
      <w:pPr>
        <w:widowControl w:val="0"/>
        <w:autoSpaceDE w:val="0"/>
        <w:autoSpaceDN w:val="0"/>
        <w:adjustRightInd w:val="0"/>
        <w:rPr>
          <w:rFonts w:ascii="Cambria" w:hAnsi="Cambria" w:cs="Cambria"/>
          <w:color w:val="262626"/>
          <w:sz w:val="22"/>
          <w:szCs w:val="22"/>
        </w:rPr>
      </w:pPr>
      <w:r w:rsidRPr="001766B3">
        <w:rPr>
          <w:rFonts w:ascii="Cambria" w:hAnsi="Cambria" w:cs="Cambria"/>
          <w:b/>
          <w:color w:val="262626"/>
          <w:sz w:val="22"/>
          <w:szCs w:val="22"/>
        </w:rPr>
        <w:t>Fifth critique</w:t>
      </w:r>
      <w:r w:rsidRPr="001766B3">
        <w:rPr>
          <w:rFonts w:ascii="Cambria" w:hAnsi="Cambria" w:cs="Cambria"/>
          <w:color w:val="262626"/>
          <w:sz w:val="22"/>
          <w:szCs w:val="22"/>
        </w:rPr>
        <w:t>.</w:t>
      </w:r>
      <w:r w:rsidR="00723211">
        <w:rPr>
          <w:rFonts w:ascii="Cambria" w:hAnsi="Cambria" w:cs="Cambria"/>
          <w:color w:val="FF6600"/>
          <w:sz w:val="22"/>
          <w:szCs w:val="22"/>
        </w:rPr>
        <w:t xml:space="preserve"> </w:t>
      </w:r>
      <w:r w:rsidRPr="007819ED">
        <w:rPr>
          <w:rFonts w:ascii="Cambria" w:hAnsi="Cambria" w:cs="Cambria"/>
          <w:iCs/>
          <w:color w:val="262626"/>
          <w:sz w:val="22"/>
          <w:szCs w:val="22"/>
        </w:rPr>
        <w:t>The Law does not hold in a monopolized economy</w:t>
      </w:r>
      <w:r w:rsidRPr="001766B3">
        <w:rPr>
          <w:rFonts w:ascii="Cambria" w:hAnsi="Cambria" w:cs="Cambria"/>
          <w:color w:val="262626"/>
          <w:sz w:val="22"/>
          <w:szCs w:val="22"/>
        </w:rPr>
        <w:t xml:space="preserve">. It is held that the lack of capital mobility across sectors is an obstacle to the equalization of the rates of profit. It is also held that monopolies need not innovate so that their OCC does not rise and each monopoly’s rate of profit does not tend to </w:t>
      </w:r>
      <w:proofErr w:type="gramStart"/>
      <w:r w:rsidRPr="001766B3">
        <w:rPr>
          <w:rFonts w:ascii="Cambria" w:hAnsi="Cambria" w:cs="Cambria"/>
          <w:color w:val="262626"/>
          <w:sz w:val="22"/>
          <w:szCs w:val="22"/>
        </w:rPr>
        <w:t>fall</w:t>
      </w:r>
      <w:r w:rsidR="007574CD">
        <w:rPr>
          <w:rFonts w:ascii="Cambria" w:hAnsi="Cambria" w:cs="Cambria"/>
          <w:color w:val="262626"/>
          <w:sz w:val="22"/>
          <w:szCs w:val="22"/>
        </w:rPr>
        <w:t xml:space="preserve"> </w:t>
      </w:r>
      <w:r w:rsidRPr="001766B3">
        <w:rPr>
          <w:rFonts w:ascii="Cambria" w:hAnsi="Cambria" w:cs="Cambria"/>
          <w:color w:val="262626"/>
          <w:sz w:val="22"/>
          <w:szCs w:val="22"/>
        </w:rPr>
        <w:t>.</w:t>
      </w:r>
      <w:proofErr w:type="gramEnd"/>
      <w:r w:rsidRPr="001766B3">
        <w:rPr>
          <w:rFonts w:ascii="Cambria" w:hAnsi="Cambria" w:cs="Cambria"/>
          <w:color w:val="262626"/>
          <w:sz w:val="22"/>
          <w:szCs w:val="22"/>
        </w:rPr>
        <w:t xml:space="preserve"> </w:t>
      </w:r>
    </w:p>
    <w:p w14:paraId="3E0E9C87" w14:textId="77777777" w:rsidR="006B019C" w:rsidRDefault="006B019C" w:rsidP="00E74967">
      <w:pPr>
        <w:widowControl w:val="0"/>
        <w:autoSpaceDE w:val="0"/>
        <w:autoSpaceDN w:val="0"/>
        <w:adjustRightInd w:val="0"/>
        <w:rPr>
          <w:rFonts w:ascii="Cambria" w:hAnsi="Cambria" w:cs="Cambria"/>
          <w:color w:val="262626"/>
          <w:sz w:val="22"/>
          <w:szCs w:val="22"/>
        </w:rPr>
      </w:pPr>
    </w:p>
    <w:p w14:paraId="4F200141" w14:textId="69812909" w:rsidR="00E74967" w:rsidRPr="001766B3" w:rsidRDefault="00723211" w:rsidP="00E74967">
      <w:pPr>
        <w:widowControl w:val="0"/>
        <w:autoSpaceDE w:val="0"/>
        <w:autoSpaceDN w:val="0"/>
        <w:adjustRightInd w:val="0"/>
        <w:rPr>
          <w:rFonts w:ascii="Cambria" w:hAnsi="Cambria" w:cs="Cambria"/>
          <w:color w:val="262626"/>
          <w:sz w:val="22"/>
          <w:szCs w:val="22"/>
        </w:rPr>
      </w:pPr>
      <w:r>
        <w:rPr>
          <w:rFonts w:ascii="Cambria" w:hAnsi="Cambria" w:cs="Cambria"/>
          <w:color w:val="262626"/>
          <w:sz w:val="22"/>
          <w:szCs w:val="22"/>
        </w:rPr>
        <w:t>However,</w:t>
      </w:r>
      <w:r w:rsidR="00E74967" w:rsidRPr="001766B3">
        <w:rPr>
          <w:rFonts w:ascii="Cambria" w:hAnsi="Cambria" w:cs="Cambria"/>
          <w:color w:val="262626"/>
          <w:sz w:val="22"/>
          <w:szCs w:val="22"/>
        </w:rPr>
        <w:t xml:space="preserve"> the need to innovate arises also due to another reason, the price mechanism. Suppose the whole economy is composed of two monopolies. Monopoly A exchanges its output for monopoly B’s output at a certain price, being the monetary expression of a certain value. Suppose now that monopoly A introduces new technologies. Its OCC increases. Its output increases too. Suppose that with the same investment, A doubles its output. Given the unchanged technological requirement of the two capitals in terms of each other inputs (use values), capital B exchanges its whole output for half the output of capital A. But monopoly A, to produce half of its output, </w:t>
      </w:r>
      <w:r>
        <w:rPr>
          <w:rFonts w:ascii="Cambria" w:hAnsi="Cambria" w:cs="Cambria"/>
          <w:color w:val="262626"/>
          <w:sz w:val="22"/>
          <w:szCs w:val="22"/>
        </w:rPr>
        <w:t>reduces by 50%</w:t>
      </w:r>
      <w:r w:rsidR="00E74967" w:rsidRPr="001766B3">
        <w:rPr>
          <w:rFonts w:ascii="Cambria" w:hAnsi="Cambria" w:cs="Cambria"/>
          <w:color w:val="262626"/>
          <w:sz w:val="22"/>
          <w:szCs w:val="22"/>
        </w:rPr>
        <w:t xml:space="preserve"> its </w:t>
      </w:r>
      <w:r>
        <w:rPr>
          <w:rFonts w:ascii="Cambria" w:hAnsi="Cambria" w:cs="Cambria"/>
          <w:color w:val="262626"/>
          <w:sz w:val="22"/>
          <w:szCs w:val="22"/>
        </w:rPr>
        <w:t>investment</w:t>
      </w:r>
      <w:r w:rsidR="00E74967" w:rsidRPr="001766B3">
        <w:rPr>
          <w:rFonts w:ascii="Cambria" w:hAnsi="Cambria" w:cs="Cambria"/>
          <w:color w:val="262626"/>
          <w:sz w:val="22"/>
          <w:szCs w:val="22"/>
        </w:rPr>
        <w:t xml:space="preserve">. A’s ROP increases </w:t>
      </w:r>
      <w:r>
        <w:rPr>
          <w:rFonts w:ascii="Cambria" w:hAnsi="Cambria" w:cs="Cambria"/>
          <w:color w:val="262626"/>
          <w:sz w:val="22"/>
          <w:szCs w:val="22"/>
        </w:rPr>
        <w:t xml:space="preserve">both because of its lower denominator and because of the appropriation of value from monopoly B. </w:t>
      </w:r>
      <w:r w:rsidR="00E74967" w:rsidRPr="001766B3">
        <w:rPr>
          <w:rFonts w:ascii="Cambria" w:hAnsi="Cambria" w:cs="Cambria"/>
          <w:color w:val="262626"/>
          <w:sz w:val="22"/>
          <w:szCs w:val="22"/>
        </w:rPr>
        <w:t xml:space="preserve">B’s ROP falls. This is why monopoly A </w:t>
      </w:r>
      <w:r>
        <w:rPr>
          <w:rFonts w:ascii="Cambria" w:hAnsi="Cambria" w:cs="Cambria"/>
          <w:color w:val="262626"/>
          <w:sz w:val="22"/>
          <w:szCs w:val="22"/>
        </w:rPr>
        <w:t>wants to</w:t>
      </w:r>
      <w:r w:rsidR="00E74967" w:rsidRPr="001766B3">
        <w:rPr>
          <w:rFonts w:ascii="Cambria" w:hAnsi="Cambria" w:cs="Cambria"/>
          <w:color w:val="262626"/>
          <w:sz w:val="22"/>
          <w:szCs w:val="22"/>
        </w:rPr>
        <w:t xml:space="preserve"> innovate. Then, B too is </w:t>
      </w:r>
      <w:r>
        <w:rPr>
          <w:rFonts w:ascii="Cambria" w:hAnsi="Cambria" w:cs="Cambria"/>
          <w:color w:val="262626"/>
          <w:sz w:val="22"/>
          <w:szCs w:val="22"/>
        </w:rPr>
        <w:t>compelled</w:t>
      </w:r>
      <w:r w:rsidR="00E74967" w:rsidRPr="001766B3">
        <w:rPr>
          <w:rFonts w:ascii="Cambria" w:hAnsi="Cambria" w:cs="Cambria"/>
          <w:color w:val="262626"/>
          <w:sz w:val="22"/>
          <w:szCs w:val="22"/>
        </w:rPr>
        <w:t xml:space="preserve"> to innovate. The two ROPs tend to equalize, even if there is no capital mobil</w:t>
      </w:r>
      <w:r>
        <w:rPr>
          <w:rFonts w:ascii="Cambria" w:hAnsi="Cambria" w:cs="Cambria"/>
          <w:color w:val="262626"/>
          <w:sz w:val="22"/>
          <w:szCs w:val="22"/>
        </w:rPr>
        <w:t xml:space="preserve">ity across sectors. Moreover, given that monopoly A </w:t>
      </w:r>
      <w:r w:rsidR="00E74967" w:rsidRPr="001766B3">
        <w:rPr>
          <w:rFonts w:ascii="Cambria" w:hAnsi="Cambria" w:cs="Cambria"/>
          <w:color w:val="262626"/>
          <w:sz w:val="22"/>
          <w:szCs w:val="22"/>
        </w:rPr>
        <w:t>has produced less value and surplus value</w:t>
      </w:r>
      <w:r w:rsidR="00685EE9">
        <w:rPr>
          <w:rFonts w:ascii="Cambria" w:hAnsi="Cambria" w:cs="Cambria"/>
          <w:color w:val="262626"/>
          <w:sz w:val="22"/>
          <w:szCs w:val="22"/>
        </w:rPr>
        <w:t>,</w:t>
      </w:r>
      <w:r w:rsidR="00E74967" w:rsidRPr="001766B3">
        <w:rPr>
          <w:rFonts w:ascii="Cambria" w:hAnsi="Cambria" w:cs="Cambria"/>
          <w:color w:val="262626"/>
          <w:sz w:val="22"/>
          <w:szCs w:val="22"/>
        </w:rPr>
        <w:t xml:space="preserve"> </w:t>
      </w:r>
      <w:r w:rsidR="00685EE9">
        <w:rPr>
          <w:rFonts w:ascii="Cambria" w:hAnsi="Cambria" w:cs="Cambria"/>
          <w:color w:val="262626"/>
          <w:sz w:val="22"/>
          <w:szCs w:val="22"/>
        </w:rPr>
        <w:t>t</w:t>
      </w:r>
      <w:r>
        <w:rPr>
          <w:rFonts w:ascii="Cambria" w:hAnsi="Cambria" w:cs="Cambria"/>
          <w:color w:val="262626"/>
          <w:sz w:val="22"/>
          <w:szCs w:val="22"/>
        </w:rPr>
        <w:t>he</w:t>
      </w:r>
      <w:r w:rsidR="00E74967" w:rsidRPr="001766B3">
        <w:rPr>
          <w:rFonts w:ascii="Cambria" w:hAnsi="Cambria" w:cs="Cambria"/>
          <w:color w:val="262626"/>
          <w:sz w:val="22"/>
          <w:szCs w:val="22"/>
        </w:rPr>
        <w:t xml:space="preserve"> ARP tends to fall. </w:t>
      </w:r>
    </w:p>
    <w:p w14:paraId="19DCEE29" w14:textId="77777777" w:rsidR="00E74967" w:rsidRPr="001766B3" w:rsidRDefault="00E74967" w:rsidP="00E74967">
      <w:pPr>
        <w:widowControl w:val="0"/>
        <w:autoSpaceDE w:val="0"/>
        <w:autoSpaceDN w:val="0"/>
        <w:adjustRightInd w:val="0"/>
        <w:rPr>
          <w:rFonts w:ascii="Cambria" w:hAnsi="Cambria" w:cs="Cambria"/>
          <w:color w:val="262626"/>
          <w:sz w:val="22"/>
          <w:szCs w:val="22"/>
        </w:rPr>
      </w:pPr>
    </w:p>
    <w:p w14:paraId="4BA962AD" w14:textId="22603FD7" w:rsidR="00E74967" w:rsidRPr="001766B3" w:rsidRDefault="00E74967" w:rsidP="00E74967">
      <w:pPr>
        <w:widowControl w:val="0"/>
        <w:autoSpaceDE w:val="0"/>
        <w:autoSpaceDN w:val="0"/>
        <w:adjustRightInd w:val="0"/>
        <w:rPr>
          <w:rFonts w:ascii="Cambria" w:hAnsi="Cambria" w:cs="Cambria"/>
          <w:color w:val="262626"/>
          <w:sz w:val="22"/>
          <w:szCs w:val="22"/>
        </w:rPr>
      </w:pPr>
      <w:r w:rsidRPr="001766B3">
        <w:rPr>
          <w:rFonts w:ascii="Cambria" w:hAnsi="Cambria" w:cs="Cambria"/>
          <w:b/>
          <w:color w:val="262626"/>
          <w:sz w:val="22"/>
          <w:szCs w:val="22"/>
        </w:rPr>
        <w:t>Sixth critique</w:t>
      </w:r>
      <w:r w:rsidRPr="001766B3">
        <w:rPr>
          <w:rFonts w:ascii="Cambria" w:hAnsi="Cambria" w:cs="Cambria"/>
          <w:color w:val="262626"/>
          <w:sz w:val="22"/>
          <w:szCs w:val="22"/>
        </w:rPr>
        <w:t>.</w:t>
      </w:r>
      <w:r w:rsidR="006B1487">
        <w:rPr>
          <w:rFonts w:ascii="Cambria" w:hAnsi="Cambria" w:cs="Cambria"/>
          <w:color w:val="262626"/>
          <w:sz w:val="22"/>
          <w:szCs w:val="22"/>
        </w:rPr>
        <w:t xml:space="preserve"> </w:t>
      </w:r>
      <w:r w:rsidRPr="007819ED">
        <w:rPr>
          <w:rFonts w:ascii="Cambria" w:hAnsi="Cambria" w:cs="Cambria"/>
          <w:iCs/>
          <w:color w:val="262626"/>
          <w:sz w:val="22"/>
          <w:szCs w:val="22"/>
        </w:rPr>
        <w:t>The Law cannot be empirically substantiated</w:t>
      </w:r>
      <w:r w:rsidRPr="001766B3">
        <w:rPr>
          <w:rFonts w:ascii="Cambria" w:hAnsi="Cambria" w:cs="Cambria"/>
          <w:color w:val="262626"/>
          <w:sz w:val="22"/>
          <w:szCs w:val="22"/>
        </w:rPr>
        <w:t xml:space="preserve">. There are three </w:t>
      </w:r>
      <w:r w:rsidR="006B019C">
        <w:rPr>
          <w:rFonts w:ascii="Cambria" w:hAnsi="Cambria" w:cs="Cambria"/>
          <w:color w:val="262626"/>
          <w:sz w:val="22"/>
          <w:szCs w:val="22"/>
        </w:rPr>
        <w:t>variations</w:t>
      </w:r>
      <w:r w:rsidRPr="001766B3">
        <w:rPr>
          <w:rFonts w:ascii="Cambria" w:hAnsi="Cambria" w:cs="Cambria"/>
          <w:color w:val="262626"/>
          <w:sz w:val="22"/>
          <w:szCs w:val="22"/>
        </w:rPr>
        <w:t xml:space="preserve"> on this theme. </w:t>
      </w:r>
    </w:p>
    <w:p w14:paraId="3C3B6123" w14:textId="77777777" w:rsidR="00E74967" w:rsidRPr="001766B3" w:rsidRDefault="00E74967" w:rsidP="00E74967">
      <w:pPr>
        <w:widowControl w:val="0"/>
        <w:autoSpaceDE w:val="0"/>
        <w:autoSpaceDN w:val="0"/>
        <w:adjustRightInd w:val="0"/>
        <w:rPr>
          <w:rFonts w:ascii="Cambria" w:hAnsi="Cambria" w:cs="Cambria"/>
          <w:color w:val="262626"/>
          <w:sz w:val="22"/>
          <w:szCs w:val="22"/>
        </w:rPr>
      </w:pPr>
    </w:p>
    <w:p w14:paraId="4D0A50D5" w14:textId="3D91582E" w:rsidR="00E74967" w:rsidRPr="001766B3" w:rsidRDefault="00E74967" w:rsidP="00E74967">
      <w:pPr>
        <w:widowControl w:val="0"/>
        <w:autoSpaceDE w:val="0"/>
        <w:autoSpaceDN w:val="0"/>
        <w:adjustRightInd w:val="0"/>
        <w:rPr>
          <w:rFonts w:ascii="Cambria" w:hAnsi="Cambria" w:cs="Cambria"/>
          <w:color w:val="262626"/>
          <w:sz w:val="22"/>
          <w:szCs w:val="22"/>
        </w:rPr>
      </w:pPr>
      <w:r w:rsidRPr="001766B3">
        <w:rPr>
          <w:rFonts w:ascii="Cambria" w:hAnsi="Cambria" w:cs="Cambria"/>
          <w:color w:val="262626"/>
          <w:sz w:val="22"/>
          <w:szCs w:val="22"/>
        </w:rPr>
        <w:t xml:space="preserve">First, </w:t>
      </w:r>
      <w:r w:rsidR="006B1487">
        <w:rPr>
          <w:rFonts w:ascii="Cambria" w:hAnsi="Cambria" w:cs="Cambria"/>
          <w:color w:val="262626"/>
          <w:sz w:val="22"/>
          <w:szCs w:val="22"/>
        </w:rPr>
        <w:t xml:space="preserve">supposedly, </w:t>
      </w:r>
      <w:r w:rsidRPr="001766B3">
        <w:rPr>
          <w:rFonts w:ascii="Cambria" w:hAnsi="Cambria" w:cs="Cambria"/>
          <w:color w:val="262626"/>
          <w:sz w:val="22"/>
          <w:szCs w:val="22"/>
        </w:rPr>
        <w:t xml:space="preserve">there are no data to compute the ROP. This is quite a remarkable statement, given the wealth of estimates of the </w:t>
      </w:r>
      <w:r w:rsidR="006B1487">
        <w:rPr>
          <w:rFonts w:ascii="Cambria" w:hAnsi="Cambria" w:cs="Cambria"/>
          <w:color w:val="262626"/>
          <w:sz w:val="22"/>
          <w:szCs w:val="22"/>
        </w:rPr>
        <w:t>ROP</w:t>
      </w:r>
      <w:r w:rsidRPr="001766B3">
        <w:rPr>
          <w:rFonts w:ascii="Cambria" w:hAnsi="Cambria" w:cs="Cambria"/>
          <w:color w:val="262626"/>
          <w:sz w:val="22"/>
          <w:szCs w:val="22"/>
        </w:rPr>
        <w:t xml:space="preserve"> not only in the US but also in a variety of other countries. </w:t>
      </w:r>
    </w:p>
    <w:p w14:paraId="1FCBE268" w14:textId="77777777" w:rsidR="00E74967" w:rsidRPr="001766B3" w:rsidRDefault="00E74967" w:rsidP="00E74967">
      <w:pPr>
        <w:widowControl w:val="0"/>
        <w:autoSpaceDE w:val="0"/>
        <w:autoSpaceDN w:val="0"/>
        <w:adjustRightInd w:val="0"/>
        <w:rPr>
          <w:rFonts w:ascii="Cambria" w:hAnsi="Cambria" w:cs="Cambria"/>
          <w:color w:val="262626"/>
          <w:sz w:val="22"/>
          <w:szCs w:val="22"/>
        </w:rPr>
      </w:pPr>
    </w:p>
    <w:p w14:paraId="6BB98040" w14:textId="5CEFA057" w:rsidR="00E74967" w:rsidRPr="001766B3" w:rsidRDefault="00E74967" w:rsidP="00E74967">
      <w:pPr>
        <w:widowControl w:val="0"/>
        <w:autoSpaceDE w:val="0"/>
        <w:autoSpaceDN w:val="0"/>
        <w:adjustRightInd w:val="0"/>
        <w:rPr>
          <w:rFonts w:ascii="Cambria" w:hAnsi="Cambria" w:cs="Cambria"/>
          <w:color w:val="262626"/>
          <w:sz w:val="22"/>
          <w:szCs w:val="22"/>
        </w:rPr>
      </w:pPr>
      <w:r w:rsidRPr="001766B3">
        <w:rPr>
          <w:rFonts w:ascii="Cambria" w:hAnsi="Cambria" w:cs="Cambria"/>
          <w:color w:val="262626"/>
          <w:sz w:val="22"/>
          <w:szCs w:val="22"/>
        </w:rPr>
        <w:t xml:space="preserve">Second </w:t>
      </w:r>
      <w:r w:rsidR="00BE08E1">
        <w:rPr>
          <w:rFonts w:ascii="Cambria" w:hAnsi="Cambria" w:cs="Cambria"/>
          <w:color w:val="262626"/>
          <w:sz w:val="22"/>
          <w:szCs w:val="22"/>
        </w:rPr>
        <w:t>variation</w:t>
      </w:r>
      <w:r w:rsidR="006B1487">
        <w:rPr>
          <w:rFonts w:ascii="Cambria" w:hAnsi="Cambria" w:cs="Cambria"/>
          <w:color w:val="262626"/>
          <w:sz w:val="22"/>
          <w:szCs w:val="22"/>
        </w:rPr>
        <w:t>:</w:t>
      </w:r>
      <w:r w:rsidRPr="001766B3">
        <w:rPr>
          <w:rFonts w:ascii="Cambria" w:hAnsi="Cambria" w:cs="Cambria"/>
          <w:color w:val="262626"/>
          <w:sz w:val="22"/>
          <w:szCs w:val="22"/>
        </w:rPr>
        <w:t xml:space="preserve"> the </w:t>
      </w:r>
      <w:r w:rsidR="006B1487">
        <w:rPr>
          <w:rFonts w:ascii="Cambria" w:hAnsi="Cambria" w:cs="Cambria"/>
          <w:color w:val="262626"/>
          <w:sz w:val="22"/>
          <w:szCs w:val="22"/>
        </w:rPr>
        <w:t>ROP</w:t>
      </w:r>
      <w:r w:rsidRPr="001766B3">
        <w:rPr>
          <w:rFonts w:ascii="Cambria" w:hAnsi="Cambria" w:cs="Cambria"/>
          <w:color w:val="262626"/>
          <w:sz w:val="22"/>
          <w:szCs w:val="22"/>
        </w:rPr>
        <w:t xml:space="preserve"> cannot be precisely estimated. This is true, but precision is not the question here, approximation is </w:t>
      </w:r>
      <w:r w:rsidR="007574CD">
        <w:rPr>
          <w:rFonts w:ascii="Cambria" w:hAnsi="Cambria" w:cs="Cambria"/>
          <w:color w:val="262626"/>
          <w:sz w:val="22"/>
          <w:szCs w:val="22"/>
        </w:rPr>
        <w:t xml:space="preserve">inevitable but </w:t>
      </w:r>
      <w:r w:rsidRPr="001766B3">
        <w:rPr>
          <w:rFonts w:ascii="Cambria" w:hAnsi="Cambria" w:cs="Cambria"/>
          <w:color w:val="262626"/>
          <w:sz w:val="22"/>
          <w:szCs w:val="22"/>
        </w:rPr>
        <w:t xml:space="preserve">sufficient. What is important is that these quantifications allow the detection of the trend of the ROP. There have been many different estimates of profitability, both short term and long term, in </w:t>
      </w:r>
      <w:r w:rsidR="006B1487">
        <w:rPr>
          <w:rFonts w:ascii="Cambria" w:hAnsi="Cambria" w:cs="Cambria"/>
          <w:color w:val="262626"/>
          <w:sz w:val="22"/>
          <w:szCs w:val="22"/>
        </w:rPr>
        <w:t xml:space="preserve">a </w:t>
      </w:r>
      <w:r w:rsidRPr="001766B3">
        <w:rPr>
          <w:rFonts w:ascii="Cambria" w:hAnsi="Cambria" w:cs="Cambria"/>
          <w:color w:val="262626"/>
          <w:sz w:val="22"/>
          <w:szCs w:val="22"/>
        </w:rPr>
        <w:t xml:space="preserve">variety of countries. But all of them converge on the finding that the </w:t>
      </w:r>
      <w:r w:rsidR="006B1487">
        <w:rPr>
          <w:rFonts w:ascii="Cambria" w:hAnsi="Cambria" w:cs="Cambria"/>
          <w:color w:val="262626"/>
          <w:sz w:val="22"/>
          <w:szCs w:val="22"/>
        </w:rPr>
        <w:t>ROP</w:t>
      </w:r>
      <w:r w:rsidRPr="001766B3">
        <w:rPr>
          <w:rFonts w:ascii="Cambria" w:hAnsi="Cambria" w:cs="Cambria"/>
          <w:color w:val="262626"/>
          <w:sz w:val="22"/>
          <w:szCs w:val="22"/>
        </w:rPr>
        <w:t xml:space="preserve"> has been falling, the difference being since when. </w:t>
      </w:r>
      <w:proofErr w:type="gramStart"/>
      <w:r w:rsidRPr="001766B3">
        <w:rPr>
          <w:rFonts w:ascii="Cambria" w:hAnsi="Cambria" w:cs="Cambria"/>
          <w:color w:val="262626"/>
          <w:sz w:val="22"/>
          <w:szCs w:val="22"/>
        </w:rPr>
        <w:t>For some since the end of WWII, for others since the end of the Golden Age.</w:t>
      </w:r>
      <w:proofErr w:type="gramEnd"/>
    </w:p>
    <w:p w14:paraId="467A1A99" w14:textId="77777777" w:rsidR="00E74967" w:rsidRPr="001766B3" w:rsidRDefault="00E74967" w:rsidP="00E74967">
      <w:pPr>
        <w:widowControl w:val="0"/>
        <w:autoSpaceDE w:val="0"/>
        <w:autoSpaceDN w:val="0"/>
        <w:adjustRightInd w:val="0"/>
        <w:rPr>
          <w:rFonts w:ascii="Cambria" w:hAnsi="Cambria" w:cs="Cambria"/>
          <w:color w:val="262626"/>
          <w:sz w:val="22"/>
          <w:szCs w:val="22"/>
        </w:rPr>
      </w:pPr>
    </w:p>
    <w:p w14:paraId="69522B04" w14:textId="0DE58BBB" w:rsidR="00BE08E1" w:rsidRDefault="00E74967" w:rsidP="00E74967">
      <w:pPr>
        <w:widowControl w:val="0"/>
        <w:autoSpaceDE w:val="0"/>
        <w:autoSpaceDN w:val="0"/>
        <w:adjustRightInd w:val="0"/>
        <w:rPr>
          <w:rFonts w:ascii="Cambria" w:hAnsi="Cambria" w:cs="Cambria"/>
          <w:color w:val="262626"/>
          <w:sz w:val="22"/>
          <w:szCs w:val="22"/>
        </w:rPr>
      </w:pPr>
      <w:r w:rsidRPr="001766B3">
        <w:rPr>
          <w:rFonts w:ascii="Cambria" w:hAnsi="Cambria" w:cs="Cambria"/>
          <w:sz w:val="22"/>
          <w:szCs w:val="22"/>
        </w:rPr>
        <w:t xml:space="preserve">Third </w:t>
      </w:r>
      <w:r w:rsidR="00BE08E1">
        <w:rPr>
          <w:rFonts w:ascii="Cambria" w:hAnsi="Cambria" w:cs="Cambria"/>
          <w:sz w:val="22"/>
          <w:szCs w:val="22"/>
        </w:rPr>
        <w:t>variation</w:t>
      </w:r>
      <w:r w:rsidR="006B1487">
        <w:rPr>
          <w:rFonts w:ascii="Cambria" w:hAnsi="Cambria" w:cs="Cambria"/>
          <w:sz w:val="22"/>
          <w:szCs w:val="22"/>
        </w:rPr>
        <w:t xml:space="preserve">: </w:t>
      </w:r>
      <w:r w:rsidRPr="001766B3">
        <w:rPr>
          <w:rFonts w:ascii="Cambria" w:hAnsi="Cambria" w:cs="Cambria"/>
          <w:sz w:val="22"/>
          <w:szCs w:val="22"/>
        </w:rPr>
        <w:t>empirical studies quantify the ARP in terms of the money expression of outputs and thus of use values</w:t>
      </w:r>
      <w:r w:rsidRPr="001766B3">
        <w:rPr>
          <w:rFonts w:ascii="Cambria" w:hAnsi="Cambria" w:cs="Cambria"/>
          <w:color w:val="262626"/>
          <w:sz w:val="22"/>
          <w:szCs w:val="22"/>
        </w:rPr>
        <w:t xml:space="preserve">. But this is </w:t>
      </w:r>
      <w:r w:rsidRPr="004838BB">
        <w:rPr>
          <w:rFonts w:ascii="Cambria" w:hAnsi="Cambria" w:cs="Cambria"/>
          <w:i/>
          <w:color w:val="262626"/>
          <w:sz w:val="22"/>
          <w:szCs w:val="22"/>
        </w:rPr>
        <w:t>not</w:t>
      </w:r>
      <w:r w:rsidRPr="001766B3">
        <w:rPr>
          <w:rFonts w:ascii="Cambria" w:hAnsi="Cambria" w:cs="Cambria"/>
          <w:color w:val="262626"/>
          <w:sz w:val="22"/>
          <w:szCs w:val="22"/>
        </w:rPr>
        <w:t xml:space="preserve"> what Marx intended. </w:t>
      </w:r>
      <w:r w:rsidR="004838BB">
        <w:rPr>
          <w:rFonts w:ascii="Cambria" w:hAnsi="Cambria" w:cs="Cambria"/>
          <w:sz w:val="22"/>
          <w:szCs w:val="22"/>
        </w:rPr>
        <w:t>Indeed</w:t>
      </w:r>
      <w:r w:rsidRPr="001766B3">
        <w:rPr>
          <w:rFonts w:ascii="Cambria" w:hAnsi="Cambria" w:cs="Cambria"/>
          <w:sz w:val="22"/>
          <w:szCs w:val="22"/>
        </w:rPr>
        <w:t xml:space="preserve">. </w:t>
      </w:r>
      <w:r w:rsidRPr="001766B3">
        <w:rPr>
          <w:rFonts w:ascii="Cambria" w:hAnsi="Cambria" w:cs="Cambria"/>
          <w:color w:val="262626"/>
          <w:sz w:val="22"/>
          <w:szCs w:val="22"/>
        </w:rPr>
        <w:t xml:space="preserve">However, it is possible to convert official data into value, i.e. labour, quantities. </w:t>
      </w:r>
      <w:r w:rsidR="00BE08E1">
        <w:rPr>
          <w:rFonts w:ascii="Cambria" w:hAnsi="Cambria" w:cs="Cambria"/>
          <w:color w:val="262626"/>
          <w:sz w:val="22"/>
          <w:szCs w:val="22"/>
        </w:rPr>
        <w:t xml:space="preserve">To compute the value </w:t>
      </w:r>
      <w:r w:rsidR="004838BB">
        <w:rPr>
          <w:rFonts w:ascii="Cambria" w:hAnsi="Cambria" w:cs="Cambria"/>
          <w:color w:val="262626"/>
          <w:sz w:val="22"/>
          <w:szCs w:val="22"/>
        </w:rPr>
        <w:t>ROP</w:t>
      </w:r>
      <w:r w:rsidR="00BE08E1">
        <w:rPr>
          <w:rFonts w:ascii="Cambria" w:hAnsi="Cambria" w:cs="Cambria"/>
          <w:color w:val="262626"/>
          <w:sz w:val="22"/>
          <w:szCs w:val="22"/>
        </w:rPr>
        <w:t xml:space="preserve"> of </w:t>
      </w:r>
      <w:r w:rsidR="004838BB">
        <w:rPr>
          <w:rFonts w:ascii="Cambria" w:hAnsi="Cambria" w:cs="Cambria"/>
          <w:color w:val="262626"/>
          <w:sz w:val="22"/>
          <w:szCs w:val="22"/>
        </w:rPr>
        <w:t xml:space="preserve">any </w:t>
      </w:r>
      <w:r w:rsidR="00BE08E1">
        <w:rPr>
          <w:rFonts w:ascii="Cambria" w:hAnsi="Cambria" w:cs="Cambria"/>
          <w:color w:val="262626"/>
          <w:sz w:val="22"/>
          <w:szCs w:val="22"/>
        </w:rPr>
        <w:t xml:space="preserve">one year, one need only begin </w:t>
      </w:r>
      <w:r w:rsidR="004838BB">
        <w:rPr>
          <w:rFonts w:ascii="Cambria" w:hAnsi="Cambria" w:cs="Cambria"/>
          <w:color w:val="262626"/>
          <w:sz w:val="22"/>
          <w:szCs w:val="22"/>
        </w:rPr>
        <w:t>from</w:t>
      </w:r>
      <w:r w:rsidR="00BE08E1">
        <w:rPr>
          <w:rFonts w:ascii="Cambria" w:hAnsi="Cambria" w:cs="Cambria"/>
          <w:color w:val="262626"/>
          <w:sz w:val="22"/>
          <w:szCs w:val="22"/>
        </w:rPr>
        <w:t xml:space="preserve"> one year earlier. No regression ad infinitum, thus. </w:t>
      </w:r>
    </w:p>
    <w:p w14:paraId="6445F43E" w14:textId="77777777" w:rsidR="00BE08E1" w:rsidRDefault="00BE08E1" w:rsidP="00E74967">
      <w:pPr>
        <w:widowControl w:val="0"/>
        <w:autoSpaceDE w:val="0"/>
        <w:autoSpaceDN w:val="0"/>
        <w:adjustRightInd w:val="0"/>
        <w:rPr>
          <w:rFonts w:ascii="Cambria" w:hAnsi="Cambria" w:cs="Cambria"/>
          <w:color w:val="262626"/>
          <w:sz w:val="22"/>
          <w:szCs w:val="22"/>
        </w:rPr>
      </w:pPr>
    </w:p>
    <w:p w14:paraId="555B4974" w14:textId="4F0A65C9" w:rsidR="00E74967" w:rsidRPr="009329C3" w:rsidRDefault="00E74967" w:rsidP="00E74967">
      <w:pPr>
        <w:widowControl w:val="0"/>
        <w:autoSpaceDE w:val="0"/>
        <w:autoSpaceDN w:val="0"/>
        <w:adjustRightInd w:val="0"/>
        <w:rPr>
          <w:rFonts w:ascii="Cambria" w:hAnsi="Cambria" w:cs="Cambria"/>
          <w:sz w:val="22"/>
          <w:szCs w:val="22"/>
        </w:rPr>
      </w:pPr>
      <w:r w:rsidRPr="009329C3">
        <w:rPr>
          <w:rFonts w:ascii="Cambria" w:hAnsi="Cambria" w:cs="Cambria"/>
          <w:sz w:val="22"/>
          <w:szCs w:val="22"/>
        </w:rPr>
        <w:t xml:space="preserve">In essence, the key is the relation between the </w:t>
      </w:r>
      <w:proofErr w:type="gramStart"/>
      <w:r w:rsidRPr="009329C3">
        <w:rPr>
          <w:rFonts w:ascii="Cambria" w:hAnsi="Cambria" w:cs="Cambria"/>
          <w:sz w:val="22"/>
          <w:szCs w:val="22"/>
        </w:rPr>
        <w:t>number</w:t>
      </w:r>
      <w:proofErr w:type="gramEnd"/>
      <w:r w:rsidRPr="009329C3">
        <w:rPr>
          <w:rFonts w:ascii="Cambria" w:hAnsi="Cambria" w:cs="Cambria"/>
          <w:sz w:val="22"/>
          <w:szCs w:val="22"/>
        </w:rPr>
        <w:t xml:space="preserve"> of hours </w:t>
      </w:r>
      <w:r w:rsidR="004838BB" w:rsidRPr="009329C3">
        <w:rPr>
          <w:rFonts w:ascii="Cambria" w:hAnsi="Cambria" w:cs="Cambria"/>
          <w:sz w:val="22"/>
          <w:szCs w:val="22"/>
        </w:rPr>
        <w:t>(</w:t>
      </w:r>
      <w:r w:rsidRPr="009329C3">
        <w:rPr>
          <w:rFonts w:ascii="Cambria" w:hAnsi="Cambria" w:cs="Cambria"/>
          <w:sz w:val="22"/>
          <w:szCs w:val="22"/>
        </w:rPr>
        <w:t>or of labour units</w:t>
      </w:r>
      <w:r w:rsidR="004838BB" w:rsidRPr="009329C3">
        <w:rPr>
          <w:rFonts w:ascii="Cambria" w:hAnsi="Cambria" w:cs="Cambria"/>
          <w:sz w:val="22"/>
          <w:szCs w:val="22"/>
        </w:rPr>
        <w:t>) on the one hand</w:t>
      </w:r>
      <w:r w:rsidRPr="009329C3">
        <w:rPr>
          <w:rFonts w:ascii="Cambria" w:hAnsi="Cambria" w:cs="Cambria"/>
          <w:sz w:val="22"/>
          <w:szCs w:val="22"/>
        </w:rPr>
        <w:t xml:space="preserve"> and</w:t>
      </w:r>
      <w:r w:rsidR="004838BB" w:rsidRPr="009329C3">
        <w:rPr>
          <w:rFonts w:ascii="Cambria" w:hAnsi="Cambria" w:cs="Cambria"/>
          <w:sz w:val="22"/>
          <w:szCs w:val="22"/>
        </w:rPr>
        <w:t>,</w:t>
      </w:r>
      <w:r w:rsidRPr="009329C3">
        <w:rPr>
          <w:rFonts w:ascii="Cambria" w:hAnsi="Cambria" w:cs="Cambria"/>
          <w:sz w:val="22"/>
          <w:szCs w:val="22"/>
        </w:rPr>
        <w:t xml:space="preserve"> </w:t>
      </w:r>
      <w:r w:rsidR="004838BB" w:rsidRPr="009329C3">
        <w:rPr>
          <w:rFonts w:ascii="Cambria" w:hAnsi="Cambria" w:cs="Cambria"/>
          <w:sz w:val="22"/>
          <w:szCs w:val="22"/>
        </w:rPr>
        <w:t xml:space="preserve">on the other, </w:t>
      </w:r>
      <w:r w:rsidRPr="009329C3">
        <w:rPr>
          <w:rFonts w:ascii="Cambria" w:hAnsi="Cambria" w:cs="Cambria"/>
          <w:sz w:val="22"/>
          <w:szCs w:val="22"/>
        </w:rPr>
        <w:t xml:space="preserve">the sum of money profits plus wages paid at the end </w:t>
      </w:r>
      <w:r w:rsidR="007574CD" w:rsidRPr="009329C3">
        <w:rPr>
          <w:rFonts w:ascii="Cambria" w:hAnsi="Cambria" w:cs="Cambria"/>
          <w:sz w:val="22"/>
          <w:szCs w:val="22"/>
        </w:rPr>
        <w:t>of the</w:t>
      </w:r>
      <w:r w:rsidRPr="009329C3">
        <w:rPr>
          <w:rFonts w:ascii="Cambria" w:hAnsi="Cambria" w:cs="Cambria"/>
          <w:sz w:val="22"/>
          <w:szCs w:val="22"/>
        </w:rPr>
        <w:t xml:space="preserve"> year </w:t>
      </w:r>
      <w:r w:rsidR="004838BB" w:rsidRPr="009329C3">
        <w:rPr>
          <w:rFonts w:ascii="Cambria" w:hAnsi="Cambria" w:cs="Cambria"/>
          <w:sz w:val="22"/>
          <w:szCs w:val="22"/>
        </w:rPr>
        <w:t xml:space="preserve">prior to the estimate, say year </w:t>
      </w:r>
      <w:r w:rsidRPr="009329C3">
        <w:rPr>
          <w:rFonts w:ascii="Cambria" w:hAnsi="Cambria" w:cs="Cambria"/>
          <w:sz w:val="22"/>
          <w:szCs w:val="22"/>
        </w:rPr>
        <w:t>1. These are known quantities. The ratio between the two quantities gives the monetary expression of one unit of labour (or of one hour). </w:t>
      </w:r>
    </w:p>
    <w:p w14:paraId="2A1DDA3B" w14:textId="77777777" w:rsidR="00E74967" w:rsidRPr="009329C3" w:rsidRDefault="00E74967" w:rsidP="00E74967">
      <w:pPr>
        <w:widowControl w:val="0"/>
        <w:autoSpaceDE w:val="0"/>
        <w:autoSpaceDN w:val="0"/>
        <w:adjustRightInd w:val="0"/>
        <w:rPr>
          <w:rFonts w:ascii="Cambria" w:hAnsi="Cambria" w:cs="Cambria"/>
          <w:sz w:val="22"/>
          <w:szCs w:val="22"/>
        </w:rPr>
      </w:pPr>
    </w:p>
    <w:p w14:paraId="5649E346" w14:textId="77777777" w:rsidR="00E74967" w:rsidRPr="009329C3" w:rsidRDefault="00E74967" w:rsidP="00E74967">
      <w:pPr>
        <w:widowControl w:val="0"/>
        <w:autoSpaceDE w:val="0"/>
        <w:autoSpaceDN w:val="0"/>
        <w:adjustRightInd w:val="0"/>
        <w:rPr>
          <w:rFonts w:ascii="Cambria" w:hAnsi="Cambria" w:cs="Cambria"/>
          <w:sz w:val="22"/>
          <w:szCs w:val="22"/>
        </w:rPr>
      </w:pPr>
      <w:r w:rsidRPr="009329C3">
        <w:rPr>
          <w:rFonts w:ascii="Lucida Grande" w:hAnsi="Lucida Grande" w:cs="Lucida Grande"/>
        </w:rPr>
        <w:lastRenderedPageBreak/>
        <w:t>α</w:t>
      </w:r>
      <w:r w:rsidRPr="009329C3">
        <w:rPr>
          <w:rFonts w:ascii="Cambria" w:hAnsi="Cambria" w:cs="Cambria"/>
          <w:sz w:val="22"/>
          <w:szCs w:val="22"/>
        </w:rPr>
        <w:t xml:space="preserve"> = (W+P)/NL</w:t>
      </w:r>
    </w:p>
    <w:p w14:paraId="6BA0C619" w14:textId="77777777" w:rsidR="00E74967" w:rsidRPr="009329C3" w:rsidRDefault="00E74967" w:rsidP="00E74967">
      <w:pPr>
        <w:widowControl w:val="0"/>
        <w:autoSpaceDE w:val="0"/>
        <w:autoSpaceDN w:val="0"/>
        <w:adjustRightInd w:val="0"/>
        <w:rPr>
          <w:rFonts w:ascii="Cambria" w:hAnsi="Cambria" w:cs="Cambria"/>
          <w:sz w:val="22"/>
          <w:szCs w:val="22"/>
        </w:rPr>
      </w:pPr>
    </w:p>
    <w:p w14:paraId="11DCACD7" w14:textId="52B88DE2" w:rsidR="00E74967" w:rsidRPr="009329C3" w:rsidRDefault="00E74967" w:rsidP="00E74967">
      <w:pPr>
        <w:widowControl w:val="0"/>
        <w:autoSpaceDE w:val="0"/>
        <w:autoSpaceDN w:val="0"/>
        <w:adjustRightInd w:val="0"/>
        <w:rPr>
          <w:rFonts w:ascii="Cambria" w:hAnsi="Cambria" w:cs="Cambria"/>
          <w:sz w:val="22"/>
          <w:szCs w:val="22"/>
        </w:rPr>
      </w:pPr>
      <w:r w:rsidRPr="009329C3">
        <w:rPr>
          <w:rFonts w:ascii="Cambria" w:hAnsi="Cambria" w:cs="Cambria"/>
          <w:sz w:val="22"/>
          <w:szCs w:val="22"/>
        </w:rPr>
        <w:t xml:space="preserve">W = wages, P = profits, NL = number of labour units </w:t>
      </w:r>
    </w:p>
    <w:p w14:paraId="59DF5C0A" w14:textId="77777777" w:rsidR="00E74967" w:rsidRPr="009329C3" w:rsidRDefault="00E74967" w:rsidP="00E74967">
      <w:pPr>
        <w:widowControl w:val="0"/>
        <w:autoSpaceDE w:val="0"/>
        <w:autoSpaceDN w:val="0"/>
        <w:adjustRightInd w:val="0"/>
        <w:rPr>
          <w:rFonts w:ascii="Cambria" w:hAnsi="Cambria" w:cs="Cambria"/>
          <w:sz w:val="22"/>
          <w:szCs w:val="22"/>
        </w:rPr>
      </w:pPr>
    </w:p>
    <w:p w14:paraId="49D95B67" w14:textId="0D280A7F" w:rsidR="00C77EAD" w:rsidRPr="009329C3" w:rsidRDefault="00E74967" w:rsidP="00E74967">
      <w:pPr>
        <w:widowControl w:val="0"/>
        <w:autoSpaceDE w:val="0"/>
        <w:autoSpaceDN w:val="0"/>
        <w:adjustRightInd w:val="0"/>
        <w:rPr>
          <w:rFonts w:ascii="Cambria" w:hAnsi="Cambria" w:cs="Cambria"/>
          <w:sz w:val="22"/>
          <w:szCs w:val="22"/>
        </w:rPr>
      </w:pPr>
      <w:r w:rsidRPr="009329C3">
        <w:rPr>
          <w:rFonts w:ascii="Cambria" w:hAnsi="Cambria" w:cs="Cambria"/>
          <w:sz w:val="22"/>
          <w:szCs w:val="22"/>
        </w:rPr>
        <w:t>For example, if W+P = $100 and NL is 5 labourers, 100/5 = 20, and $20 represents 1 unit of labour</w:t>
      </w:r>
      <w:r w:rsidR="004838BB" w:rsidRPr="009329C3">
        <w:rPr>
          <w:rFonts w:ascii="Cambria" w:hAnsi="Cambria" w:cs="Cambria"/>
          <w:sz w:val="22"/>
          <w:szCs w:val="22"/>
        </w:rPr>
        <w:t xml:space="preserve"> at the end of year 1</w:t>
      </w:r>
      <w:r w:rsidRPr="009329C3">
        <w:rPr>
          <w:rFonts w:ascii="Cambria" w:hAnsi="Cambria" w:cs="Cambria"/>
          <w:sz w:val="22"/>
          <w:szCs w:val="22"/>
        </w:rPr>
        <w:t xml:space="preserve">. </w:t>
      </w:r>
    </w:p>
    <w:p w14:paraId="7E7B1F9F" w14:textId="77777777" w:rsidR="00C77EAD" w:rsidRPr="009329C3" w:rsidRDefault="00C77EAD" w:rsidP="00E74967">
      <w:pPr>
        <w:widowControl w:val="0"/>
        <w:autoSpaceDE w:val="0"/>
        <w:autoSpaceDN w:val="0"/>
        <w:adjustRightInd w:val="0"/>
        <w:rPr>
          <w:rFonts w:ascii="Cambria" w:hAnsi="Cambria" w:cs="Cambria"/>
          <w:sz w:val="22"/>
          <w:szCs w:val="22"/>
        </w:rPr>
      </w:pPr>
    </w:p>
    <w:p w14:paraId="68DAE4B7" w14:textId="72BFDB47" w:rsidR="00E74967" w:rsidRPr="009329C3" w:rsidRDefault="00E74967" w:rsidP="00E74967">
      <w:pPr>
        <w:widowControl w:val="0"/>
        <w:autoSpaceDE w:val="0"/>
        <w:autoSpaceDN w:val="0"/>
        <w:adjustRightInd w:val="0"/>
        <w:rPr>
          <w:rFonts w:ascii="Cambria" w:hAnsi="Cambria" w:cs="Cambria"/>
          <w:sz w:val="22"/>
          <w:szCs w:val="22"/>
        </w:rPr>
      </w:pPr>
      <w:r w:rsidRPr="009329C3">
        <w:rPr>
          <w:rFonts w:ascii="Cambria" w:hAnsi="Cambria" w:cs="Cambria"/>
          <w:sz w:val="22"/>
          <w:szCs w:val="22"/>
        </w:rPr>
        <w:t>By applying this ratio, we can compute the labour content of wages and of profits separately. Further, given the inherent homogeneity of abstract labour, the same ratio can be applied to the price of the means of production, also at the end of year 1. This is the labour content of th</w:t>
      </w:r>
      <w:r w:rsidR="004838BB" w:rsidRPr="009329C3">
        <w:rPr>
          <w:rFonts w:ascii="Cambria" w:hAnsi="Cambria" w:cs="Cambria"/>
          <w:sz w:val="22"/>
          <w:szCs w:val="22"/>
        </w:rPr>
        <w:t>e means of production as the output</w:t>
      </w:r>
      <w:r w:rsidRPr="009329C3">
        <w:rPr>
          <w:rFonts w:ascii="Cambria" w:hAnsi="Cambria" w:cs="Cambria"/>
          <w:sz w:val="22"/>
          <w:szCs w:val="22"/>
        </w:rPr>
        <w:t xml:space="preserve"> of year 1. Given that the output of year 1 is also the input of year 2, this is also the labour content of the same MOP at the beginning of year 2. At the end of year 2 we compute again profits and wages in terms of labour. Finally, we divide profits in labour terms at the end of year 2 by the sum of the labour content of wages also at the end of year 2 plus the labour content of the MOP at the beginning of year 2. The </w:t>
      </w:r>
      <w:r w:rsidRPr="009329C3">
        <w:rPr>
          <w:rFonts w:ascii="Cambria" w:hAnsi="Cambria" w:cs="Cambria"/>
          <w:i/>
          <w:iCs/>
          <w:sz w:val="22"/>
          <w:szCs w:val="22"/>
        </w:rPr>
        <w:t>temporal</w:t>
      </w:r>
      <w:r w:rsidRPr="009329C3">
        <w:rPr>
          <w:rFonts w:ascii="Cambria" w:hAnsi="Cambria" w:cs="Cambria"/>
          <w:sz w:val="22"/>
          <w:szCs w:val="22"/>
        </w:rPr>
        <w:t xml:space="preserve"> ARP in terms of </w:t>
      </w:r>
      <w:r w:rsidR="00270F1F" w:rsidRPr="009329C3">
        <w:rPr>
          <w:rFonts w:ascii="Cambria" w:hAnsi="Cambria" w:cs="Cambria"/>
          <w:sz w:val="22"/>
          <w:szCs w:val="22"/>
        </w:rPr>
        <w:t>labour</w:t>
      </w:r>
      <w:r w:rsidRPr="009329C3">
        <w:rPr>
          <w:rFonts w:ascii="Cambria" w:hAnsi="Cambria" w:cs="Cambria"/>
          <w:sz w:val="22"/>
          <w:szCs w:val="22"/>
        </w:rPr>
        <w:t xml:space="preserve"> (value) at </w:t>
      </w:r>
      <w:r w:rsidR="00BE08E1" w:rsidRPr="009329C3">
        <w:rPr>
          <w:rFonts w:ascii="Cambria" w:hAnsi="Cambria" w:cs="Cambria"/>
          <w:sz w:val="22"/>
          <w:szCs w:val="22"/>
        </w:rPr>
        <w:t xml:space="preserve">the end of </w:t>
      </w:r>
      <w:r w:rsidRPr="009329C3">
        <w:rPr>
          <w:rFonts w:ascii="Cambria" w:hAnsi="Cambria" w:cs="Cambria"/>
          <w:sz w:val="22"/>
          <w:szCs w:val="22"/>
        </w:rPr>
        <w:t>year 2 follows. </w:t>
      </w:r>
    </w:p>
    <w:p w14:paraId="30852EB4" w14:textId="77777777" w:rsidR="00E74967" w:rsidRPr="009329C3" w:rsidRDefault="00E74967" w:rsidP="00E74967">
      <w:pPr>
        <w:widowControl w:val="0"/>
        <w:autoSpaceDE w:val="0"/>
        <w:autoSpaceDN w:val="0"/>
        <w:adjustRightInd w:val="0"/>
        <w:rPr>
          <w:rFonts w:ascii="Cambria" w:hAnsi="Cambria" w:cs="Cambria"/>
          <w:sz w:val="22"/>
          <w:szCs w:val="22"/>
        </w:rPr>
      </w:pPr>
    </w:p>
    <w:p w14:paraId="005D6A4A" w14:textId="77777777" w:rsidR="00E74967" w:rsidRPr="001766B3" w:rsidRDefault="00E74967" w:rsidP="00E74967">
      <w:pPr>
        <w:widowControl w:val="0"/>
        <w:autoSpaceDE w:val="0"/>
        <w:autoSpaceDN w:val="0"/>
        <w:adjustRightInd w:val="0"/>
        <w:rPr>
          <w:rFonts w:ascii="Cambria" w:hAnsi="Cambria" w:cs="Cambria"/>
          <w:color w:val="1A1A1A"/>
          <w:sz w:val="22"/>
          <w:szCs w:val="22"/>
        </w:rPr>
      </w:pPr>
      <w:r w:rsidRPr="001766B3">
        <w:rPr>
          <w:rFonts w:ascii="Cambria" w:hAnsi="Cambria" w:cs="Cambria"/>
          <w:color w:val="1A1A1A"/>
          <w:sz w:val="22"/>
          <w:szCs w:val="22"/>
        </w:rPr>
        <w:t>Chart 3.</w:t>
      </w:r>
    </w:p>
    <w:p w14:paraId="1AC34385" w14:textId="77777777" w:rsidR="00E74967" w:rsidRPr="001766B3" w:rsidRDefault="00E74967" w:rsidP="00E74967">
      <w:pPr>
        <w:widowControl w:val="0"/>
        <w:autoSpaceDE w:val="0"/>
        <w:autoSpaceDN w:val="0"/>
        <w:adjustRightInd w:val="0"/>
        <w:rPr>
          <w:rFonts w:ascii="Cambria" w:hAnsi="Cambria" w:cs="Cambria"/>
          <w:color w:val="1A1A1A"/>
        </w:rPr>
      </w:pPr>
      <w:r w:rsidRPr="001766B3">
        <w:rPr>
          <w:rFonts w:ascii="Cambria" w:hAnsi="Cambria" w:cs="Cambria"/>
          <w:color w:val="1A1A1A"/>
        </w:rPr>
        <w:t> </w:t>
      </w:r>
      <w:r w:rsidRPr="001766B3">
        <w:rPr>
          <w:noProof/>
          <w:lang w:val="en-US"/>
        </w:rPr>
        <w:drawing>
          <wp:inline distT="0" distB="0" distL="0" distR="0" wp14:anchorId="25795048" wp14:editId="3A09949A">
            <wp:extent cx="4572000" cy="2743200"/>
            <wp:effectExtent l="0" t="0" r="25400" b="2540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002065B" w14:textId="77777777" w:rsidR="00E74967" w:rsidRPr="001766B3" w:rsidRDefault="00E74967" w:rsidP="00E74967">
      <w:pPr>
        <w:widowControl w:val="0"/>
        <w:autoSpaceDE w:val="0"/>
        <w:autoSpaceDN w:val="0"/>
        <w:adjustRightInd w:val="0"/>
        <w:rPr>
          <w:rFonts w:ascii="Cambria" w:hAnsi="Cambria" w:cs="Cambria"/>
          <w:color w:val="1A1A1A"/>
          <w:sz w:val="22"/>
          <w:szCs w:val="22"/>
        </w:rPr>
      </w:pPr>
    </w:p>
    <w:p w14:paraId="78BAAC65" w14:textId="6580CD17" w:rsidR="00E74967" w:rsidRPr="001766B3" w:rsidRDefault="00E74967" w:rsidP="00E74967">
      <w:pPr>
        <w:widowControl w:val="0"/>
        <w:autoSpaceDE w:val="0"/>
        <w:autoSpaceDN w:val="0"/>
        <w:adjustRightInd w:val="0"/>
        <w:rPr>
          <w:rFonts w:ascii="Cambria" w:hAnsi="Cambria" w:cs="Cambria"/>
          <w:color w:val="1A1A1A"/>
          <w:sz w:val="22"/>
          <w:szCs w:val="22"/>
        </w:rPr>
      </w:pPr>
      <w:r w:rsidRPr="001766B3">
        <w:rPr>
          <w:rFonts w:ascii="Cambria" w:hAnsi="Cambria" w:cs="Cambria"/>
          <w:color w:val="1A1A1A"/>
          <w:sz w:val="22"/>
          <w:szCs w:val="22"/>
        </w:rPr>
        <w:t xml:space="preserve">Since money quantities can be converted into value magnitudes, the results of the analysis in money terms apply also to the value dimension. The Law holds both in money and in value terms. Moreover, the two </w:t>
      </w:r>
      <w:r w:rsidR="00F43C41">
        <w:rPr>
          <w:rFonts w:ascii="Cambria" w:hAnsi="Cambria" w:cs="Cambria"/>
          <w:color w:val="1A1A1A"/>
          <w:sz w:val="22"/>
          <w:szCs w:val="22"/>
        </w:rPr>
        <w:t>ROP</w:t>
      </w:r>
      <w:r w:rsidRPr="001766B3">
        <w:rPr>
          <w:rFonts w:ascii="Cambria" w:hAnsi="Cambria" w:cs="Cambria"/>
          <w:color w:val="1A1A1A"/>
          <w:sz w:val="22"/>
          <w:szCs w:val="22"/>
        </w:rPr>
        <w:t xml:space="preserve"> not only move in the same direction (tendentially downward) but also track each other very closely.</w:t>
      </w:r>
    </w:p>
    <w:p w14:paraId="2C7488A4" w14:textId="77777777" w:rsidR="00E74967" w:rsidRPr="001766B3" w:rsidRDefault="00E74967" w:rsidP="00E74967">
      <w:pPr>
        <w:widowControl w:val="0"/>
        <w:autoSpaceDE w:val="0"/>
        <w:autoSpaceDN w:val="0"/>
        <w:adjustRightInd w:val="0"/>
        <w:rPr>
          <w:rFonts w:ascii="Cambria" w:hAnsi="Cambria" w:cs="Cambria"/>
          <w:color w:val="1A1A1A"/>
          <w:sz w:val="22"/>
          <w:szCs w:val="22"/>
        </w:rPr>
      </w:pPr>
    </w:p>
    <w:p w14:paraId="0DAACF6D" w14:textId="35390737" w:rsidR="00E74967" w:rsidRDefault="00E74967" w:rsidP="00E74967">
      <w:pPr>
        <w:widowControl w:val="0"/>
        <w:autoSpaceDE w:val="0"/>
        <w:autoSpaceDN w:val="0"/>
        <w:adjustRightInd w:val="0"/>
        <w:rPr>
          <w:rFonts w:ascii="Cambria" w:hAnsi="Cambria" w:cs="Cambria"/>
          <w:color w:val="262626"/>
          <w:sz w:val="22"/>
          <w:szCs w:val="22"/>
        </w:rPr>
      </w:pPr>
      <w:r w:rsidRPr="001766B3">
        <w:rPr>
          <w:rFonts w:ascii="Cambria" w:hAnsi="Cambria" w:cs="Cambria"/>
          <w:b/>
          <w:color w:val="1A1A1A"/>
          <w:sz w:val="22"/>
          <w:szCs w:val="22"/>
        </w:rPr>
        <w:t>Seventh critique</w:t>
      </w:r>
      <w:r w:rsidRPr="001766B3">
        <w:rPr>
          <w:rFonts w:ascii="Cambria" w:hAnsi="Cambria" w:cs="Cambria"/>
          <w:color w:val="1A1A1A"/>
          <w:sz w:val="22"/>
          <w:szCs w:val="22"/>
        </w:rPr>
        <w:t xml:space="preserve">. </w:t>
      </w:r>
      <w:r w:rsidRPr="007819ED">
        <w:rPr>
          <w:rFonts w:ascii="Cambria" w:hAnsi="Cambria" w:cs="Cambria"/>
          <w:iCs/>
          <w:color w:val="1A1A1A"/>
          <w:sz w:val="22"/>
          <w:szCs w:val="22"/>
        </w:rPr>
        <w:t>Since the mid-1980s, the ARP has been tendentially rising, not falling</w:t>
      </w:r>
      <w:r w:rsidRPr="007819ED">
        <w:rPr>
          <w:rFonts w:ascii="Cambria" w:hAnsi="Cambria" w:cs="Cambria"/>
          <w:color w:val="1A1A1A"/>
          <w:sz w:val="22"/>
          <w:szCs w:val="22"/>
        </w:rPr>
        <w:t>.</w:t>
      </w:r>
      <w:r w:rsidRPr="001766B3">
        <w:rPr>
          <w:rFonts w:ascii="Cambria" w:hAnsi="Cambria" w:cs="Cambria"/>
          <w:color w:val="262626"/>
          <w:sz w:val="22"/>
          <w:szCs w:val="22"/>
        </w:rPr>
        <w:t xml:space="preserve"> Thus supposedly the Law has ceased to operate. </w:t>
      </w:r>
      <w:r w:rsidR="007360FA">
        <w:rPr>
          <w:rFonts w:ascii="Cambria" w:hAnsi="Cambria" w:cs="Cambria"/>
          <w:color w:val="262626"/>
          <w:sz w:val="22"/>
          <w:szCs w:val="22"/>
        </w:rPr>
        <w:t xml:space="preserve">Consider figure 4. </w:t>
      </w:r>
    </w:p>
    <w:p w14:paraId="185911F4" w14:textId="77777777" w:rsidR="007360FA" w:rsidRDefault="007360FA" w:rsidP="00E74967">
      <w:pPr>
        <w:widowControl w:val="0"/>
        <w:autoSpaceDE w:val="0"/>
        <w:autoSpaceDN w:val="0"/>
        <w:adjustRightInd w:val="0"/>
        <w:rPr>
          <w:rFonts w:ascii="Cambria" w:hAnsi="Cambria" w:cs="Cambria"/>
          <w:color w:val="262626"/>
          <w:sz w:val="22"/>
          <w:szCs w:val="22"/>
        </w:rPr>
      </w:pPr>
    </w:p>
    <w:p w14:paraId="6CE445E3" w14:textId="77777777" w:rsidR="00E74967" w:rsidRPr="001766B3" w:rsidRDefault="00E74967" w:rsidP="00E74967">
      <w:pPr>
        <w:widowControl w:val="0"/>
        <w:autoSpaceDE w:val="0"/>
        <w:autoSpaceDN w:val="0"/>
        <w:adjustRightInd w:val="0"/>
        <w:rPr>
          <w:rFonts w:ascii="Cambria" w:hAnsi="Cambria" w:cs="Cambria"/>
          <w:color w:val="262626"/>
          <w:sz w:val="22"/>
          <w:szCs w:val="22"/>
        </w:rPr>
      </w:pPr>
    </w:p>
    <w:p w14:paraId="0C5A05A3" w14:textId="77777777" w:rsidR="00E74967" w:rsidRPr="001766B3" w:rsidRDefault="00E74967" w:rsidP="00E74967">
      <w:pPr>
        <w:widowControl w:val="0"/>
        <w:autoSpaceDE w:val="0"/>
        <w:autoSpaceDN w:val="0"/>
        <w:adjustRightInd w:val="0"/>
        <w:rPr>
          <w:rFonts w:ascii="Cambria" w:hAnsi="Cambria" w:cs="Cambria"/>
          <w:color w:val="262626"/>
          <w:sz w:val="22"/>
          <w:szCs w:val="22"/>
        </w:rPr>
      </w:pPr>
    </w:p>
    <w:p w14:paraId="7496EE8A" w14:textId="77777777" w:rsidR="00E74967" w:rsidRPr="001766B3" w:rsidRDefault="00E74967" w:rsidP="00E74967">
      <w:pPr>
        <w:widowControl w:val="0"/>
        <w:autoSpaceDE w:val="0"/>
        <w:autoSpaceDN w:val="0"/>
        <w:adjustRightInd w:val="0"/>
        <w:rPr>
          <w:rFonts w:ascii="Cambria" w:hAnsi="Cambria" w:cs="Cambria"/>
          <w:color w:val="262626"/>
          <w:sz w:val="22"/>
          <w:szCs w:val="22"/>
        </w:rPr>
      </w:pPr>
    </w:p>
    <w:p w14:paraId="5D4A2A67" w14:textId="77777777" w:rsidR="00E74967" w:rsidRPr="001766B3" w:rsidRDefault="00E74967" w:rsidP="00E74967">
      <w:pPr>
        <w:widowControl w:val="0"/>
        <w:autoSpaceDE w:val="0"/>
        <w:autoSpaceDN w:val="0"/>
        <w:adjustRightInd w:val="0"/>
        <w:rPr>
          <w:rFonts w:ascii="Cambria" w:hAnsi="Cambria" w:cs="Cambria"/>
          <w:color w:val="262626"/>
          <w:sz w:val="22"/>
          <w:szCs w:val="22"/>
        </w:rPr>
      </w:pPr>
    </w:p>
    <w:p w14:paraId="01499E71" w14:textId="77777777" w:rsidR="00E74967" w:rsidRPr="001766B3" w:rsidRDefault="00E74967" w:rsidP="00E74967">
      <w:pPr>
        <w:widowControl w:val="0"/>
        <w:autoSpaceDE w:val="0"/>
        <w:autoSpaceDN w:val="0"/>
        <w:adjustRightInd w:val="0"/>
        <w:rPr>
          <w:rFonts w:ascii="Cambria" w:hAnsi="Cambria" w:cs="Cambria"/>
          <w:color w:val="262626"/>
          <w:sz w:val="22"/>
          <w:szCs w:val="22"/>
        </w:rPr>
      </w:pPr>
    </w:p>
    <w:p w14:paraId="0050138C" w14:textId="77777777" w:rsidR="00E74967" w:rsidRPr="001766B3" w:rsidRDefault="00E74967" w:rsidP="00E74967">
      <w:pPr>
        <w:widowControl w:val="0"/>
        <w:autoSpaceDE w:val="0"/>
        <w:autoSpaceDN w:val="0"/>
        <w:adjustRightInd w:val="0"/>
        <w:rPr>
          <w:rFonts w:ascii="Cambria" w:hAnsi="Cambria" w:cs="Cambria"/>
          <w:color w:val="262626"/>
          <w:sz w:val="22"/>
          <w:szCs w:val="22"/>
        </w:rPr>
      </w:pPr>
    </w:p>
    <w:p w14:paraId="1B0A81B5" w14:textId="77777777" w:rsidR="00E74967" w:rsidRPr="001766B3" w:rsidRDefault="00E74967" w:rsidP="00E74967">
      <w:pPr>
        <w:widowControl w:val="0"/>
        <w:autoSpaceDE w:val="0"/>
        <w:autoSpaceDN w:val="0"/>
        <w:adjustRightInd w:val="0"/>
        <w:rPr>
          <w:rFonts w:ascii="Cambria" w:hAnsi="Cambria" w:cs="Cambria"/>
          <w:color w:val="262626"/>
          <w:sz w:val="22"/>
          <w:szCs w:val="22"/>
        </w:rPr>
      </w:pPr>
    </w:p>
    <w:p w14:paraId="0E80F72A" w14:textId="77777777" w:rsidR="00E74967" w:rsidRPr="001766B3" w:rsidRDefault="00E74967" w:rsidP="00E74967">
      <w:pPr>
        <w:widowControl w:val="0"/>
        <w:autoSpaceDE w:val="0"/>
        <w:autoSpaceDN w:val="0"/>
        <w:adjustRightInd w:val="0"/>
        <w:rPr>
          <w:rFonts w:ascii="Cambria" w:hAnsi="Cambria" w:cs="Cambria"/>
          <w:color w:val="262626"/>
          <w:sz w:val="22"/>
          <w:szCs w:val="22"/>
        </w:rPr>
      </w:pPr>
      <w:r w:rsidRPr="001766B3">
        <w:rPr>
          <w:rFonts w:ascii="Cambria" w:hAnsi="Cambria" w:cs="Cambria"/>
          <w:color w:val="262626"/>
          <w:sz w:val="22"/>
          <w:szCs w:val="22"/>
        </w:rPr>
        <w:t>Chart 4.</w:t>
      </w:r>
    </w:p>
    <w:p w14:paraId="0496C6B3" w14:textId="77777777" w:rsidR="00E74967" w:rsidRPr="001766B3" w:rsidRDefault="00E74967" w:rsidP="00E74967">
      <w:pPr>
        <w:widowControl w:val="0"/>
        <w:autoSpaceDE w:val="0"/>
        <w:autoSpaceDN w:val="0"/>
        <w:adjustRightInd w:val="0"/>
        <w:rPr>
          <w:rFonts w:ascii="Cambria" w:hAnsi="Cambria" w:cs="Cambria"/>
          <w:color w:val="262626"/>
          <w:sz w:val="22"/>
          <w:szCs w:val="22"/>
        </w:rPr>
      </w:pPr>
      <w:r w:rsidRPr="001766B3">
        <w:rPr>
          <w:rFonts w:ascii="Cambria" w:hAnsi="Cambria" w:cs="Cambria"/>
          <w:color w:val="262626"/>
          <w:sz w:val="22"/>
          <w:szCs w:val="22"/>
        </w:rPr>
        <w:t> </w:t>
      </w:r>
      <w:r w:rsidRPr="001766B3">
        <w:rPr>
          <w:rFonts w:cs="Lucida Grande"/>
          <w:noProof/>
          <w:color w:val="262626"/>
          <w:sz w:val="20"/>
          <w:szCs w:val="20"/>
          <w:lang w:val="en-US"/>
        </w:rPr>
        <w:drawing>
          <wp:inline distT="0" distB="0" distL="0" distR="0" wp14:anchorId="1C96A580" wp14:editId="5A57D2E6">
            <wp:extent cx="5270500" cy="31585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0500" cy="3158589"/>
                    </a:xfrm>
                    <a:prstGeom prst="rect">
                      <a:avLst/>
                    </a:prstGeom>
                    <a:noFill/>
                    <a:ln>
                      <a:noFill/>
                    </a:ln>
                  </pic:spPr>
                </pic:pic>
              </a:graphicData>
            </a:graphic>
          </wp:inline>
        </w:drawing>
      </w:r>
    </w:p>
    <w:p w14:paraId="26960689" w14:textId="77777777" w:rsidR="007360FA" w:rsidRDefault="007360FA" w:rsidP="00E74967">
      <w:pPr>
        <w:widowControl w:val="0"/>
        <w:autoSpaceDE w:val="0"/>
        <w:autoSpaceDN w:val="0"/>
        <w:adjustRightInd w:val="0"/>
        <w:rPr>
          <w:rFonts w:ascii="Cambria" w:hAnsi="Cambria" w:cs="Cambria"/>
          <w:color w:val="1A1A1A"/>
          <w:sz w:val="22"/>
          <w:szCs w:val="22"/>
        </w:rPr>
      </w:pPr>
    </w:p>
    <w:p w14:paraId="7C25BC91" w14:textId="0AD6A103" w:rsidR="00E74967" w:rsidRPr="001766B3" w:rsidRDefault="007360FA" w:rsidP="00E74967">
      <w:pPr>
        <w:widowControl w:val="0"/>
        <w:autoSpaceDE w:val="0"/>
        <w:autoSpaceDN w:val="0"/>
        <w:adjustRightInd w:val="0"/>
        <w:rPr>
          <w:rFonts w:ascii="Cambria" w:hAnsi="Cambria" w:cs="Cambria"/>
          <w:color w:val="1A1A1A"/>
          <w:sz w:val="22"/>
          <w:szCs w:val="22"/>
        </w:rPr>
      </w:pPr>
      <w:r>
        <w:rPr>
          <w:rFonts w:ascii="Cambria" w:hAnsi="Cambria" w:cs="Cambria"/>
          <w:color w:val="1A1A1A"/>
          <w:sz w:val="22"/>
          <w:szCs w:val="22"/>
        </w:rPr>
        <w:t>T</w:t>
      </w:r>
      <w:r w:rsidR="00E74967" w:rsidRPr="001766B3">
        <w:rPr>
          <w:rFonts w:ascii="Cambria" w:hAnsi="Cambria" w:cs="Cambria"/>
          <w:color w:val="1A1A1A"/>
          <w:sz w:val="22"/>
          <w:szCs w:val="22"/>
        </w:rPr>
        <w:t>endentially</w:t>
      </w:r>
      <w:r>
        <w:rPr>
          <w:rFonts w:ascii="Cambria" w:hAnsi="Cambria" w:cs="Cambria"/>
          <w:color w:val="1A1A1A"/>
          <w:sz w:val="22"/>
          <w:szCs w:val="22"/>
        </w:rPr>
        <w:t>,</w:t>
      </w:r>
      <w:r w:rsidR="00E74967" w:rsidRPr="001766B3">
        <w:rPr>
          <w:rFonts w:ascii="Cambria" w:hAnsi="Cambria" w:cs="Cambria"/>
          <w:color w:val="1A1A1A"/>
          <w:sz w:val="22"/>
          <w:szCs w:val="22"/>
        </w:rPr>
        <w:t xml:space="preserve"> the </w:t>
      </w:r>
      <w:r>
        <w:rPr>
          <w:rFonts w:ascii="Cambria" w:hAnsi="Cambria" w:cs="Cambria"/>
          <w:color w:val="1A1A1A"/>
          <w:sz w:val="22"/>
          <w:szCs w:val="22"/>
        </w:rPr>
        <w:t>ROP</w:t>
      </w:r>
      <w:r w:rsidR="00E74967" w:rsidRPr="001766B3">
        <w:rPr>
          <w:rFonts w:ascii="Cambria" w:hAnsi="Cambria" w:cs="Cambria"/>
          <w:color w:val="1A1A1A"/>
          <w:sz w:val="22"/>
          <w:szCs w:val="22"/>
        </w:rPr>
        <w:t xml:space="preserve"> has been falling throughout the post-WWII period. If the whole secular trend in </w:t>
      </w:r>
      <w:proofErr w:type="gramStart"/>
      <w:r w:rsidR="00E74967" w:rsidRPr="001766B3">
        <w:rPr>
          <w:rFonts w:ascii="Cambria" w:hAnsi="Cambria" w:cs="Cambria"/>
          <w:color w:val="1A1A1A"/>
          <w:sz w:val="22"/>
          <w:szCs w:val="22"/>
        </w:rPr>
        <w:t>downwards</w:t>
      </w:r>
      <w:proofErr w:type="gramEnd"/>
      <w:r w:rsidR="00E74967" w:rsidRPr="001766B3">
        <w:rPr>
          <w:rFonts w:ascii="Cambria" w:hAnsi="Cambria" w:cs="Cambria"/>
          <w:color w:val="1A1A1A"/>
          <w:sz w:val="22"/>
          <w:szCs w:val="22"/>
        </w:rPr>
        <w:t xml:space="preserve">, and that includes the period of rising profitability, then this period is a counter-tendency. Some critics reply that the period of rising profitability is too long to be a counter-tendency. The answer is that a </w:t>
      </w:r>
      <w:r w:rsidR="00E12AD6">
        <w:rPr>
          <w:rFonts w:ascii="Cambria" w:hAnsi="Cambria" w:cs="Cambria"/>
          <w:color w:val="1A1A1A"/>
          <w:sz w:val="22"/>
          <w:szCs w:val="22"/>
        </w:rPr>
        <w:t>counter-</w:t>
      </w:r>
      <w:r w:rsidR="00E74967" w:rsidRPr="001766B3">
        <w:rPr>
          <w:rFonts w:ascii="Cambria" w:hAnsi="Cambria" w:cs="Cambria"/>
          <w:color w:val="1A1A1A"/>
          <w:sz w:val="22"/>
          <w:szCs w:val="22"/>
        </w:rPr>
        <w:t xml:space="preserve">tendency </w:t>
      </w:r>
      <w:r w:rsidRPr="001766B3">
        <w:rPr>
          <w:rFonts w:ascii="Cambria" w:hAnsi="Cambria" w:cs="Cambria"/>
          <w:color w:val="1A1A1A"/>
          <w:sz w:val="22"/>
          <w:szCs w:val="22"/>
        </w:rPr>
        <w:t>continues</w:t>
      </w:r>
      <w:r w:rsidR="00E74967" w:rsidRPr="001766B3">
        <w:rPr>
          <w:rFonts w:ascii="Cambria" w:hAnsi="Cambria" w:cs="Cambria"/>
          <w:color w:val="1A1A1A"/>
          <w:sz w:val="22"/>
          <w:szCs w:val="22"/>
        </w:rPr>
        <w:t xml:space="preserve"> al long as its causes last, in this case the historic defeat of the world working class. The Law must be understood in terms of the tendency and of counter-tendencies.</w:t>
      </w:r>
    </w:p>
    <w:p w14:paraId="4EBFEF5A" w14:textId="77777777" w:rsidR="00E74967" w:rsidRPr="001766B3" w:rsidRDefault="00E74967" w:rsidP="00E74967">
      <w:pPr>
        <w:widowControl w:val="0"/>
        <w:autoSpaceDE w:val="0"/>
        <w:autoSpaceDN w:val="0"/>
        <w:adjustRightInd w:val="0"/>
        <w:rPr>
          <w:rFonts w:ascii="Cambria" w:hAnsi="Cambria" w:cs="Cambria"/>
          <w:color w:val="1A1A1A"/>
          <w:sz w:val="22"/>
          <w:szCs w:val="22"/>
        </w:rPr>
      </w:pPr>
    </w:p>
    <w:p w14:paraId="344E2018" w14:textId="460540D7" w:rsidR="00E74967" w:rsidRPr="001766B3" w:rsidRDefault="00E74967" w:rsidP="00E74967">
      <w:pPr>
        <w:widowControl w:val="0"/>
        <w:autoSpaceDE w:val="0"/>
        <w:autoSpaceDN w:val="0"/>
        <w:adjustRightInd w:val="0"/>
        <w:rPr>
          <w:rFonts w:ascii="Cambria" w:hAnsi="Cambria" w:cs="Cambria"/>
          <w:color w:val="1A1A1A"/>
          <w:sz w:val="22"/>
          <w:szCs w:val="22"/>
        </w:rPr>
      </w:pPr>
      <w:r w:rsidRPr="001766B3">
        <w:rPr>
          <w:rFonts w:ascii="Cambria" w:hAnsi="Cambria" w:cs="Cambria"/>
          <w:color w:val="1A1A1A"/>
          <w:sz w:val="22"/>
          <w:szCs w:val="22"/>
        </w:rPr>
        <w:t xml:space="preserve">What </w:t>
      </w:r>
      <w:r w:rsidR="007360FA" w:rsidRPr="001766B3">
        <w:rPr>
          <w:rFonts w:ascii="Cambria" w:hAnsi="Cambria" w:cs="Cambria"/>
          <w:color w:val="1A1A1A"/>
          <w:sz w:val="22"/>
          <w:szCs w:val="22"/>
        </w:rPr>
        <w:t xml:space="preserve">then </w:t>
      </w:r>
      <w:r w:rsidRPr="001766B3">
        <w:rPr>
          <w:rFonts w:ascii="Cambria" w:hAnsi="Cambria" w:cs="Cambria"/>
          <w:color w:val="1A1A1A"/>
          <w:sz w:val="22"/>
          <w:szCs w:val="22"/>
        </w:rPr>
        <w:t xml:space="preserve">is the counter-tendency operating in this period? </w:t>
      </w:r>
      <w:proofErr w:type="gramStart"/>
      <w:r w:rsidRPr="001766B3">
        <w:rPr>
          <w:rFonts w:ascii="Cambria" w:hAnsi="Cambria" w:cs="Cambria"/>
          <w:color w:val="1A1A1A"/>
          <w:sz w:val="22"/>
          <w:szCs w:val="22"/>
        </w:rPr>
        <w:t>The rising rate of exploitation, the essence of neo-liberalism.</w:t>
      </w:r>
      <w:proofErr w:type="gramEnd"/>
      <w:r w:rsidRPr="001766B3">
        <w:rPr>
          <w:rFonts w:ascii="Cambria" w:hAnsi="Cambria" w:cs="Cambria"/>
          <w:color w:val="1A1A1A"/>
          <w:sz w:val="22"/>
          <w:szCs w:val="22"/>
        </w:rPr>
        <w:t xml:space="preserve"> This becomes evident if the effects of an increased rate of exploitation are removed, i.e. if in the numerator of the </w:t>
      </w:r>
      <w:r w:rsidR="007360FA">
        <w:rPr>
          <w:rFonts w:ascii="Cambria" w:hAnsi="Cambria" w:cs="Cambria"/>
          <w:color w:val="1A1A1A"/>
          <w:sz w:val="22"/>
          <w:szCs w:val="22"/>
        </w:rPr>
        <w:t>ROP</w:t>
      </w:r>
      <w:r w:rsidRPr="001766B3">
        <w:rPr>
          <w:rFonts w:ascii="Cambria" w:hAnsi="Cambria" w:cs="Cambria"/>
          <w:color w:val="1A1A1A"/>
          <w:sz w:val="22"/>
          <w:szCs w:val="22"/>
        </w:rPr>
        <w:t xml:space="preserve"> we control for the fluctuations in the rate of exploitation. I call </w:t>
      </w:r>
      <w:r w:rsidR="007360FA">
        <w:rPr>
          <w:rFonts w:ascii="Cambria" w:hAnsi="Cambria" w:cs="Cambria"/>
          <w:color w:val="1A1A1A"/>
          <w:sz w:val="22"/>
          <w:szCs w:val="22"/>
        </w:rPr>
        <w:t>t</w:t>
      </w:r>
      <w:r w:rsidR="007360FA" w:rsidRPr="001766B3">
        <w:rPr>
          <w:rFonts w:ascii="Cambria" w:hAnsi="Cambria" w:cs="Cambria"/>
          <w:color w:val="1A1A1A"/>
          <w:sz w:val="22"/>
          <w:szCs w:val="22"/>
        </w:rPr>
        <w:t xml:space="preserve">his </w:t>
      </w:r>
      <w:r w:rsidRPr="001766B3">
        <w:rPr>
          <w:rFonts w:ascii="Cambria" w:hAnsi="Cambria" w:cs="Cambria"/>
          <w:color w:val="1A1A1A"/>
          <w:sz w:val="22"/>
          <w:szCs w:val="22"/>
        </w:rPr>
        <w:t xml:space="preserve">the </w:t>
      </w:r>
      <w:r w:rsidRPr="001766B3">
        <w:rPr>
          <w:rFonts w:ascii="Cambria" w:hAnsi="Cambria" w:cs="Cambria"/>
          <w:i/>
          <w:iCs/>
          <w:color w:val="1A1A1A"/>
          <w:sz w:val="22"/>
          <w:szCs w:val="22"/>
        </w:rPr>
        <w:t>constant exploitation ARP (CE-ARP)</w:t>
      </w:r>
      <w:r w:rsidRPr="001766B3">
        <w:rPr>
          <w:rFonts w:ascii="Cambria" w:hAnsi="Cambria" w:cs="Cambria"/>
          <w:color w:val="1A1A1A"/>
          <w:sz w:val="22"/>
          <w:szCs w:val="22"/>
        </w:rPr>
        <w:t xml:space="preserve">, the </w:t>
      </w:r>
      <w:r w:rsidR="007360FA">
        <w:rPr>
          <w:rFonts w:ascii="Cambria" w:hAnsi="Cambria" w:cs="Cambria"/>
          <w:color w:val="1A1A1A"/>
          <w:sz w:val="22"/>
          <w:szCs w:val="22"/>
        </w:rPr>
        <w:t>ROP</w:t>
      </w:r>
      <w:r w:rsidRPr="001766B3">
        <w:rPr>
          <w:rFonts w:ascii="Cambria" w:hAnsi="Cambria" w:cs="Cambria"/>
          <w:color w:val="1A1A1A"/>
          <w:sz w:val="22"/>
          <w:szCs w:val="22"/>
        </w:rPr>
        <w:t xml:space="preserve"> whose numerator has been computed by holding the rate of exploitation constant throughout the long-term period.</w:t>
      </w:r>
    </w:p>
    <w:p w14:paraId="34320EBD" w14:textId="77777777" w:rsidR="00E74967" w:rsidRDefault="00E74967" w:rsidP="00E74967">
      <w:pPr>
        <w:widowControl w:val="0"/>
        <w:autoSpaceDE w:val="0"/>
        <w:autoSpaceDN w:val="0"/>
        <w:adjustRightInd w:val="0"/>
        <w:rPr>
          <w:rFonts w:ascii="Cambria" w:hAnsi="Cambria" w:cs="Cambria"/>
          <w:color w:val="1A1A1A"/>
          <w:sz w:val="22"/>
          <w:szCs w:val="22"/>
        </w:rPr>
      </w:pPr>
    </w:p>
    <w:p w14:paraId="7F6C3037" w14:textId="77777777" w:rsidR="00E74967" w:rsidRPr="001766B3" w:rsidRDefault="00E74967" w:rsidP="00E74967">
      <w:pPr>
        <w:widowControl w:val="0"/>
        <w:autoSpaceDE w:val="0"/>
        <w:autoSpaceDN w:val="0"/>
        <w:adjustRightInd w:val="0"/>
        <w:rPr>
          <w:rFonts w:ascii="Cambria" w:hAnsi="Cambria" w:cs="Cambria"/>
          <w:color w:val="1A1A1A"/>
          <w:sz w:val="22"/>
          <w:szCs w:val="22"/>
        </w:rPr>
      </w:pPr>
    </w:p>
    <w:p w14:paraId="748299B9" w14:textId="77777777" w:rsidR="00E74967" w:rsidRPr="001766B3" w:rsidRDefault="00E74967" w:rsidP="00E74967">
      <w:pPr>
        <w:widowControl w:val="0"/>
        <w:autoSpaceDE w:val="0"/>
        <w:autoSpaceDN w:val="0"/>
        <w:adjustRightInd w:val="0"/>
        <w:rPr>
          <w:rFonts w:ascii="Cambria" w:hAnsi="Cambria" w:cs="Cambria"/>
          <w:color w:val="1A1A1A"/>
          <w:sz w:val="22"/>
          <w:szCs w:val="22"/>
        </w:rPr>
      </w:pPr>
    </w:p>
    <w:p w14:paraId="51505633" w14:textId="77777777" w:rsidR="00E74967" w:rsidRPr="001766B3" w:rsidRDefault="00E74967" w:rsidP="00E74967">
      <w:pPr>
        <w:widowControl w:val="0"/>
        <w:autoSpaceDE w:val="0"/>
        <w:autoSpaceDN w:val="0"/>
        <w:adjustRightInd w:val="0"/>
        <w:rPr>
          <w:rFonts w:ascii="Cambria" w:hAnsi="Cambria" w:cs="Cambria"/>
          <w:color w:val="1A1A1A"/>
          <w:sz w:val="22"/>
          <w:szCs w:val="22"/>
        </w:rPr>
      </w:pPr>
    </w:p>
    <w:p w14:paraId="1207D672" w14:textId="77777777" w:rsidR="00E74967" w:rsidRPr="001766B3" w:rsidRDefault="00E74967" w:rsidP="00E74967">
      <w:pPr>
        <w:widowControl w:val="0"/>
        <w:autoSpaceDE w:val="0"/>
        <w:autoSpaceDN w:val="0"/>
        <w:adjustRightInd w:val="0"/>
        <w:rPr>
          <w:rFonts w:ascii="Cambria" w:hAnsi="Cambria" w:cs="Cambria"/>
          <w:color w:val="1A1A1A"/>
          <w:sz w:val="22"/>
          <w:szCs w:val="22"/>
        </w:rPr>
      </w:pPr>
    </w:p>
    <w:p w14:paraId="51BA86D0" w14:textId="77777777" w:rsidR="00E74967" w:rsidRPr="001766B3" w:rsidRDefault="00E74967" w:rsidP="00E74967">
      <w:pPr>
        <w:widowControl w:val="0"/>
        <w:autoSpaceDE w:val="0"/>
        <w:autoSpaceDN w:val="0"/>
        <w:adjustRightInd w:val="0"/>
        <w:rPr>
          <w:rFonts w:ascii="Cambria" w:hAnsi="Cambria" w:cs="Cambria"/>
          <w:color w:val="1A1A1A"/>
          <w:sz w:val="22"/>
          <w:szCs w:val="22"/>
        </w:rPr>
      </w:pPr>
    </w:p>
    <w:p w14:paraId="7BD2CAA0" w14:textId="77777777" w:rsidR="00E74967" w:rsidRPr="001766B3" w:rsidRDefault="00E74967" w:rsidP="00E74967">
      <w:pPr>
        <w:widowControl w:val="0"/>
        <w:autoSpaceDE w:val="0"/>
        <w:autoSpaceDN w:val="0"/>
        <w:adjustRightInd w:val="0"/>
        <w:rPr>
          <w:rFonts w:ascii="Cambria" w:hAnsi="Cambria" w:cs="Cambria"/>
          <w:color w:val="1A1A1A"/>
          <w:sz w:val="22"/>
          <w:szCs w:val="22"/>
        </w:rPr>
      </w:pPr>
    </w:p>
    <w:p w14:paraId="3270A962" w14:textId="77777777" w:rsidR="00A34616" w:rsidRDefault="00A34616" w:rsidP="00E74967">
      <w:pPr>
        <w:widowControl w:val="0"/>
        <w:autoSpaceDE w:val="0"/>
        <w:autoSpaceDN w:val="0"/>
        <w:adjustRightInd w:val="0"/>
        <w:rPr>
          <w:rFonts w:ascii="Cambria" w:hAnsi="Cambria" w:cs="Cambria"/>
          <w:color w:val="1A1A1A"/>
          <w:sz w:val="22"/>
          <w:szCs w:val="22"/>
        </w:rPr>
      </w:pPr>
    </w:p>
    <w:p w14:paraId="271ED2B8" w14:textId="77777777" w:rsidR="00A34616" w:rsidRDefault="00A34616" w:rsidP="00E74967">
      <w:pPr>
        <w:widowControl w:val="0"/>
        <w:autoSpaceDE w:val="0"/>
        <w:autoSpaceDN w:val="0"/>
        <w:adjustRightInd w:val="0"/>
        <w:rPr>
          <w:rFonts w:ascii="Cambria" w:hAnsi="Cambria" w:cs="Cambria"/>
          <w:color w:val="1A1A1A"/>
          <w:sz w:val="22"/>
          <w:szCs w:val="22"/>
        </w:rPr>
      </w:pPr>
    </w:p>
    <w:p w14:paraId="6486A692" w14:textId="77777777" w:rsidR="00A34616" w:rsidRDefault="00A34616" w:rsidP="00E74967">
      <w:pPr>
        <w:widowControl w:val="0"/>
        <w:autoSpaceDE w:val="0"/>
        <w:autoSpaceDN w:val="0"/>
        <w:adjustRightInd w:val="0"/>
        <w:rPr>
          <w:rFonts w:ascii="Cambria" w:hAnsi="Cambria" w:cs="Cambria"/>
          <w:color w:val="1A1A1A"/>
          <w:sz w:val="22"/>
          <w:szCs w:val="22"/>
        </w:rPr>
      </w:pPr>
    </w:p>
    <w:p w14:paraId="1CB1250E" w14:textId="77777777" w:rsidR="00A34616" w:rsidRDefault="00A34616" w:rsidP="00E74967">
      <w:pPr>
        <w:widowControl w:val="0"/>
        <w:autoSpaceDE w:val="0"/>
        <w:autoSpaceDN w:val="0"/>
        <w:adjustRightInd w:val="0"/>
        <w:rPr>
          <w:rFonts w:ascii="Cambria" w:hAnsi="Cambria" w:cs="Cambria"/>
          <w:color w:val="1A1A1A"/>
          <w:sz w:val="22"/>
          <w:szCs w:val="22"/>
        </w:rPr>
      </w:pPr>
    </w:p>
    <w:p w14:paraId="52E740C8" w14:textId="77777777" w:rsidR="00A34616" w:rsidRDefault="00A34616" w:rsidP="00E74967">
      <w:pPr>
        <w:widowControl w:val="0"/>
        <w:autoSpaceDE w:val="0"/>
        <w:autoSpaceDN w:val="0"/>
        <w:adjustRightInd w:val="0"/>
        <w:rPr>
          <w:rFonts w:ascii="Cambria" w:hAnsi="Cambria" w:cs="Cambria"/>
          <w:color w:val="1A1A1A"/>
          <w:sz w:val="22"/>
          <w:szCs w:val="22"/>
        </w:rPr>
      </w:pPr>
    </w:p>
    <w:p w14:paraId="5DF2078A" w14:textId="77777777" w:rsidR="007819ED" w:rsidRDefault="007819ED" w:rsidP="00E74967">
      <w:pPr>
        <w:widowControl w:val="0"/>
        <w:autoSpaceDE w:val="0"/>
        <w:autoSpaceDN w:val="0"/>
        <w:adjustRightInd w:val="0"/>
        <w:rPr>
          <w:rFonts w:ascii="Cambria" w:hAnsi="Cambria" w:cs="Cambria"/>
          <w:color w:val="1A1A1A"/>
          <w:sz w:val="22"/>
          <w:szCs w:val="22"/>
        </w:rPr>
      </w:pPr>
    </w:p>
    <w:p w14:paraId="2BCACB69" w14:textId="575AE895" w:rsidR="00E74967" w:rsidRPr="001766B3" w:rsidRDefault="00026EFA" w:rsidP="00E74967">
      <w:pPr>
        <w:widowControl w:val="0"/>
        <w:autoSpaceDE w:val="0"/>
        <w:autoSpaceDN w:val="0"/>
        <w:adjustRightInd w:val="0"/>
        <w:rPr>
          <w:rFonts w:ascii="Cambria" w:hAnsi="Cambria" w:cs="Cambria"/>
          <w:color w:val="1A1A1A"/>
          <w:sz w:val="22"/>
          <w:szCs w:val="22"/>
        </w:rPr>
      </w:pPr>
      <w:r>
        <w:rPr>
          <w:rFonts w:ascii="Cambria" w:hAnsi="Cambria" w:cs="Cambria"/>
          <w:color w:val="1A1A1A"/>
          <w:sz w:val="22"/>
          <w:szCs w:val="22"/>
        </w:rPr>
        <w:lastRenderedPageBreak/>
        <w:t>Ch</w:t>
      </w:r>
      <w:r w:rsidR="00E74967" w:rsidRPr="001766B3">
        <w:rPr>
          <w:rFonts w:ascii="Cambria" w:hAnsi="Cambria" w:cs="Cambria"/>
          <w:color w:val="1A1A1A"/>
          <w:sz w:val="22"/>
          <w:szCs w:val="22"/>
        </w:rPr>
        <w:t>art 5.</w:t>
      </w:r>
    </w:p>
    <w:p w14:paraId="1DEA49AC" w14:textId="77777777" w:rsidR="00E74967" w:rsidRPr="001766B3" w:rsidRDefault="00E74967" w:rsidP="00E74967">
      <w:pPr>
        <w:widowControl w:val="0"/>
        <w:autoSpaceDE w:val="0"/>
        <w:autoSpaceDN w:val="0"/>
        <w:adjustRightInd w:val="0"/>
        <w:rPr>
          <w:rFonts w:ascii="Cambria" w:hAnsi="Cambria" w:cs="Cambria"/>
          <w:color w:val="1A1A1A"/>
        </w:rPr>
      </w:pPr>
      <w:r w:rsidRPr="001766B3">
        <w:rPr>
          <w:rFonts w:ascii="Cambria" w:hAnsi="Cambria" w:cs="Cambria"/>
          <w:color w:val="1A1A1A"/>
        </w:rPr>
        <w:t> </w:t>
      </w:r>
      <w:r w:rsidRPr="001766B3">
        <w:rPr>
          <w:noProof/>
          <w:lang w:val="en-US"/>
        </w:rPr>
        <w:drawing>
          <wp:inline distT="0" distB="0" distL="0" distR="0" wp14:anchorId="7642B29E" wp14:editId="77CB5B45">
            <wp:extent cx="4570730" cy="2741930"/>
            <wp:effectExtent l="0" t="0" r="26670" b="26670"/>
            <wp:docPr id="4" name="Picture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0190CBF" w14:textId="77777777" w:rsidR="00E74967" w:rsidRPr="001766B3" w:rsidRDefault="00E74967" w:rsidP="00E74967">
      <w:pPr>
        <w:widowControl w:val="0"/>
        <w:autoSpaceDE w:val="0"/>
        <w:autoSpaceDN w:val="0"/>
        <w:adjustRightInd w:val="0"/>
        <w:rPr>
          <w:rFonts w:ascii="Cambria" w:hAnsi="Cambria" w:cs="Cambria"/>
          <w:color w:val="1A1A1A"/>
          <w:sz w:val="22"/>
          <w:szCs w:val="22"/>
        </w:rPr>
      </w:pPr>
    </w:p>
    <w:p w14:paraId="1C0ADD3F" w14:textId="77777777" w:rsidR="00E74967" w:rsidRPr="001766B3" w:rsidRDefault="00E74967" w:rsidP="00E74967">
      <w:pPr>
        <w:widowControl w:val="0"/>
        <w:autoSpaceDE w:val="0"/>
        <w:autoSpaceDN w:val="0"/>
        <w:adjustRightInd w:val="0"/>
        <w:rPr>
          <w:rFonts w:ascii="Cambria" w:hAnsi="Cambria" w:cs="Cambria"/>
          <w:color w:val="1A1A1A"/>
          <w:sz w:val="22"/>
          <w:szCs w:val="22"/>
        </w:rPr>
      </w:pPr>
      <w:r w:rsidRPr="001766B3">
        <w:rPr>
          <w:rFonts w:ascii="Cambria" w:hAnsi="Cambria" w:cs="Cambria"/>
          <w:color w:val="1A1A1A"/>
          <w:sz w:val="22"/>
          <w:szCs w:val="22"/>
        </w:rPr>
        <w:t>Even though the ARP has increased between 1986 and 2010, the CE-ARP has decreased. A comparison between the two lines shows that a greater share of the shrinking new value has been redistributed from labour to capital. And this is why the ARP has risen.</w:t>
      </w:r>
    </w:p>
    <w:p w14:paraId="67D675E7" w14:textId="77777777" w:rsidR="00E74967" w:rsidRPr="001766B3" w:rsidRDefault="00E74967" w:rsidP="00E74967">
      <w:pPr>
        <w:widowControl w:val="0"/>
        <w:autoSpaceDE w:val="0"/>
        <w:autoSpaceDN w:val="0"/>
        <w:adjustRightInd w:val="0"/>
        <w:rPr>
          <w:rFonts w:ascii="Cambria" w:hAnsi="Cambria" w:cs="Cambria"/>
          <w:color w:val="1A1A1A"/>
          <w:sz w:val="22"/>
          <w:szCs w:val="22"/>
        </w:rPr>
      </w:pPr>
    </w:p>
    <w:p w14:paraId="29760BB7" w14:textId="661F475B" w:rsidR="00E74967" w:rsidRPr="001766B3" w:rsidRDefault="00E74967" w:rsidP="00E74967">
      <w:pPr>
        <w:widowControl w:val="0"/>
        <w:autoSpaceDE w:val="0"/>
        <w:autoSpaceDN w:val="0"/>
        <w:adjustRightInd w:val="0"/>
        <w:rPr>
          <w:rFonts w:ascii="Cambria" w:hAnsi="Cambria" w:cs="Cambria"/>
          <w:color w:val="1A1A1A"/>
          <w:sz w:val="22"/>
          <w:szCs w:val="22"/>
        </w:rPr>
      </w:pPr>
      <w:r w:rsidRPr="001766B3">
        <w:rPr>
          <w:rFonts w:ascii="Cambria" w:hAnsi="Cambria" w:cs="Cambria"/>
          <w:color w:val="1A1A1A"/>
          <w:sz w:val="22"/>
          <w:szCs w:val="22"/>
        </w:rPr>
        <w:t xml:space="preserve">It has been argued that the CE-ARP is not a ‘real’, but a hypothetical measure of profitability because it measures what profitability would have been under the assumption of a constant rate of exploitation, rather than what it has actually been. If correct, this objection would invalidate, say, the computation of the </w:t>
      </w:r>
      <w:r w:rsidR="007360FA">
        <w:rPr>
          <w:rFonts w:ascii="Cambria" w:hAnsi="Cambria" w:cs="Cambria"/>
          <w:color w:val="1A1A1A"/>
          <w:sz w:val="22"/>
          <w:szCs w:val="22"/>
        </w:rPr>
        <w:t>ROP</w:t>
      </w:r>
      <w:r w:rsidRPr="001766B3">
        <w:rPr>
          <w:rFonts w:ascii="Cambria" w:hAnsi="Cambria" w:cs="Cambria"/>
          <w:color w:val="1A1A1A"/>
          <w:sz w:val="22"/>
          <w:szCs w:val="22"/>
        </w:rPr>
        <w:t xml:space="preserve"> with deflated prices. The point is whether the CE-ARP, just as deflated prices, helps us understand</w:t>
      </w:r>
      <w:r w:rsidR="00005808">
        <w:rPr>
          <w:rFonts w:ascii="Cambria" w:hAnsi="Cambria" w:cs="Cambria"/>
          <w:color w:val="1A1A1A"/>
          <w:sz w:val="22"/>
          <w:szCs w:val="22"/>
        </w:rPr>
        <w:t>ing</w:t>
      </w:r>
      <w:r w:rsidRPr="001766B3">
        <w:rPr>
          <w:rFonts w:ascii="Cambria" w:hAnsi="Cambria" w:cs="Cambria"/>
          <w:color w:val="1A1A1A"/>
          <w:sz w:val="22"/>
          <w:szCs w:val="22"/>
        </w:rPr>
        <w:t xml:space="preserve"> features of reality that the ARP with variable rates of exploitation cannot disclose. </w:t>
      </w:r>
    </w:p>
    <w:p w14:paraId="30AC3B6E" w14:textId="77777777" w:rsidR="00E74967" w:rsidRPr="001766B3" w:rsidRDefault="00E74967" w:rsidP="00E74967">
      <w:pPr>
        <w:widowControl w:val="0"/>
        <w:autoSpaceDE w:val="0"/>
        <w:autoSpaceDN w:val="0"/>
        <w:adjustRightInd w:val="0"/>
        <w:rPr>
          <w:rFonts w:ascii="Cambria" w:hAnsi="Cambria" w:cs="Cambria"/>
          <w:color w:val="1A1A1A"/>
          <w:sz w:val="22"/>
          <w:szCs w:val="22"/>
        </w:rPr>
      </w:pPr>
    </w:p>
    <w:p w14:paraId="5A70BD88" w14:textId="6927A873" w:rsidR="00E74967" w:rsidRPr="001766B3" w:rsidRDefault="00E74967" w:rsidP="00E74967">
      <w:pPr>
        <w:widowControl w:val="0"/>
        <w:autoSpaceDE w:val="0"/>
        <w:autoSpaceDN w:val="0"/>
        <w:adjustRightInd w:val="0"/>
        <w:rPr>
          <w:rFonts w:ascii="Cambria" w:hAnsi="Cambria" w:cs="Cambria"/>
          <w:color w:val="1A1A1A"/>
          <w:sz w:val="22"/>
          <w:szCs w:val="22"/>
        </w:rPr>
      </w:pPr>
      <w:r w:rsidRPr="001766B3">
        <w:rPr>
          <w:rFonts w:ascii="Cambria" w:hAnsi="Cambria" w:cs="Cambria"/>
          <w:b/>
          <w:color w:val="1A1A1A"/>
          <w:sz w:val="22"/>
          <w:szCs w:val="22"/>
        </w:rPr>
        <w:t>Eighth critique</w:t>
      </w:r>
      <w:r w:rsidRPr="001766B3">
        <w:rPr>
          <w:rFonts w:ascii="Cambria" w:hAnsi="Cambria" w:cs="Cambria"/>
          <w:color w:val="1A1A1A"/>
          <w:sz w:val="22"/>
          <w:szCs w:val="22"/>
        </w:rPr>
        <w:t xml:space="preserve">. </w:t>
      </w:r>
      <w:r w:rsidRPr="007819ED">
        <w:rPr>
          <w:rFonts w:ascii="Cambria" w:hAnsi="Cambria" w:cs="Cambria"/>
          <w:iCs/>
          <w:color w:val="1A1A1A"/>
          <w:sz w:val="22"/>
          <w:szCs w:val="22"/>
        </w:rPr>
        <w:t>It cannot be shown that labour is the sole creator of value</w:t>
      </w:r>
      <w:r w:rsidRPr="007819ED">
        <w:rPr>
          <w:rFonts w:ascii="Cambria" w:hAnsi="Cambria" w:cs="Cambria"/>
          <w:color w:val="1A1A1A"/>
          <w:sz w:val="22"/>
          <w:szCs w:val="22"/>
        </w:rPr>
        <w:t>.</w:t>
      </w:r>
      <w:r w:rsidRPr="001766B3">
        <w:rPr>
          <w:rFonts w:ascii="Cambria" w:hAnsi="Cambria" w:cs="Cambria"/>
          <w:color w:val="1A1A1A"/>
          <w:sz w:val="22"/>
          <w:szCs w:val="22"/>
        </w:rPr>
        <w:t xml:space="preserve"> It is argued that the MOP </w:t>
      </w:r>
      <w:proofErr w:type="gramStart"/>
      <w:r w:rsidRPr="001766B3">
        <w:rPr>
          <w:rFonts w:ascii="Cambria" w:hAnsi="Cambria" w:cs="Cambria"/>
          <w:color w:val="1A1A1A"/>
          <w:sz w:val="22"/>
          <w:szCs w:val="22"/>
        </w:rPr>
        <w:t>create</w:t>
      </w:r>
      <w:proofErr w:type="gramEnd"/>
      <w:r w:rsidRPr="001766B3">
        <w:rPr>
          <w:rFonts w:ascii="Cambria" w:hAnsi="Cambria" w:cs="Cambria"/>
          <w:color w:val="1A1A1A"/>
          <w:sz w:val="22"/>
          <w:szCs w:val="22"/>
        </w:rPr>
        <w:t xml:space="preserve"> value too. Here</w:t>
      </w:r>
      <w:r w:rsidR="00AA7A92">
        <w:rPr>
          <w:rFonts w:ascii="Cambria" w:hAnsi="Cambria" w:cs="Cambria"/>
          <w:color w:val="1A1A1A"/>
          <w:sz w:val="22"/>
          <w:szCs w:val="22"/>
        </w:rPr>
        <w:t>,</w:t>
      </w:r>
      <w:r w:rsidRPr="001766B3">
        <w:rPr>
          <w:rFonts w:ascii="Cambria" w:hAnsi="Cambria" w:cs="Cambria"/>
          <w:color w:val="1A1A1A"/>
          <w:sz w:val="22"/>
          <w:szCs w:val="22"/>
        </w:rPr>
        <w:t xml:space="preserve"> the fundamental mistake is that no distinction is made between use values and value. The MOP help creating use values, not value. The following chart shows it.</w:t>
      </w:r>
    </w:p>
    <w:p w14:paraId="3223EAB1" w14:textId="77777777" w:rsidR="00E74967" w:rsidRDefault="00E74967" w:rsidP="00E74967">
      <w:pPr>
        <w:widowControl w:val="0"/>
        <w:autoSpaceDE w:val="0"/>
        <w:autoSpaceDN w:val="0"/>
        <w:adjustRightInd w:val="0"/>
        <w:rPr>
          <w:rFonts w:ascii="Cambria" w:hAnsi="Cambria" w:cs="Cambria"/>
          <w:color w:val="1A1A1A"/>
          <w:sz w:val="22"/>
          <w:szCs w:val="22"/>
        </w:rPr>
      </w:pPr>
    </w:p>
    <w:p w14:paraId="18610149" w14:textId="77777777" w:rsidR="00E74967" w:rsidRDefault="00E74967" w:rsidP="00E74967">
      <w:pPr>
        <w:widowControl w:val="0"/>
        <w:autoSpaceDE w:val="0"/>
        <w:autoSpaceDN w:val="0"/>
        <w:adjustRightInd w:val="0"/>
        <w:rPr>
          <w:rFonts w:ascii="Calibri" w:hAnsi="Calibri" w:cs="Calibri"/>
          <w:color w:val="1A1A1A"/>
          <w:sz w:val="22"/>
          <w:szCs w:val="22"/>
        </w:rPr>
      </w:pPr>
    </w:p>
    <w:p w14:paraId="205D0E65" w14:textId="77777777" w:rsidR="002E0216" w:rsidRDefault="002E0216" w:rsidP="00E74967">
      <w:pPr>
        <w:widowControl w:val="0"/>
        <w:autoSpaceDE w:val="0"/>
        <w:autoSpaceDN w:val="0"/>
        <w:adjustRightInd w:val="0"/>
        <w:rPr>
          <w:rFonts w:ascii="Calibri" w:hAnsi="Calibri" w:cs="Calibri"/>
          <w:color w:val="1A1A1A"/>
          <w:sz w:val="22"/>
          <w:szCs w:val="22"/>
        </w:rPr>
      </w:pPr>
    </w:p>
    <w:p w14:paraId="2CFDEF2A" w14:textId="77777777" w:rsidR="002E0216" w:rsidRDefault="002E0216" w:rsidP="00E74967">
      <w:pPr>
        <w:widowControl w:val="0"/>
        <w:autoSpaceDE w:val="0"/>
        <w:autoSpaceDN w:val="0"/>
        <w:adjustRightInd w:val="0"/>
        <w:rPr>
          <w:rFonts w:ascii="Calibri" w:hAnsi="Calibri" w:cs="Calibri"/>
          <w:color w:val="1A1A1A"/>
          <w:sz w:val="22"/>
          <w:szCs w:val="22"/>
        </w:rPr>
      </w:pPr>
    </w:p>
    <w:p w14:paraId="24CCFA1F" w14:textId="77777777" w:rsidR="002E0216" w:rsidRDefault="002E0216" w:rsidP="00E74967">
      <w:pPr>
        <w:widowControl w:val="0"/>
        <w:autoSpaceDE w:val="0"/>
        <w:autoSpaceDN w:val="0"/>
        <w:adjustRightInd w:val="0"/>
        <w:rPr>
          <w:rFonts w:ascii="Calibri" w:hAnsi="Calibri" w:cs="Calibri"/>
          <w:color w:val="1A1A1A"/>
          <w:sz w:val="22"/>
          <w:szCs w:val="22"/>
        </w:rPr>
      </w:pPr>
    </w:p>
    <w:p w14:paraId="66A44543" w14:textId="77777777" w:rsidR="002E0216" w:rsidRDefault="002E0216" w:rsidP="00E74967">
      <w:pPr>
        <w:widowControl w:val="0"/>
        <w:autoSpaceDE w:val="0"/>
        <w:autoSpaceDN w:val="0"/>
        <w:adjustRightInd w:val="0"/>
        <w:rPr>
          <w:rFonts w:ascii="Calibri" w:hAnsi="Calibri" w:cs="Calibri"/>
          <w:color w:val="1A1A1A"/>
          <w:sz w:val="22"/>
          <w:szCs w:val="22"/>
        </w:rPr>
      </w:pPr>
    </w:p>
    <w:p w14:paraId="4701F88D" w14:textId="77777777" w:rsidR="002E0216" w:rsidRDefault="002E0216" w:rsidP="00E74967">
      <w:pPr>
        <w:widowControl w:val="0"/>
        <w:autoSpaceDE w:val="0"/>
        <w:autoSpaceDN w:val="0"/>
        <w:adjustRightInd w:val="0"/>
        <w:rPr>
          <w:rFonts w:ascii="Calibri" w:hAnsi="Calibri" w:cs="Calibri"/>
          <w:color w:val="1A1A1A"/>
          <w:sz w:val="22"/>
          <w:szCs w:val="22"/>
        </w:rPr>
      </w:pPr>
    </w:p>
    <w:p w14:paraId="31A91190" w14:textId="77777777" w:rsidR="002E0216" w:rsidRDefault="002E0216" w:rsidP="00E74967">
      <w:pPr>
        <w:widowControl w:val="0"/>
        <w:autoSpaceDE w:val="0"/>
        <w:autoSpaceDN w:val="0"/>
        <w:adjustRightInd w:val="0"/>
        <w:rPr>
          <w:rFonts w:ascii="Calibri" w:hAnsi="Calibri" w:cs="Calibri"/>
          <w:color w:val="1A1A1A"/>
          <w:sz w:val="22"/>
          <w:szCs w:val="22"/>
        </w:rPr>
      </w:pPr>
    </w:p>
    <w:p w14:paraId="3E13A112" w14:textId="77777777" w:rsidR="002E0216" w:rsidRDefault="002E0216" w:rsidP="00E74967">
      <w:pPr>
        <w:widowControl w:val="0"/>
        <w:autoSpaceDE w:val="0"/>
        <w:autoSpaceDN w:val="0"/>
        <w:adjustRightInd w:val="0"/>
        <w:rPr>
          <w:rFonts w:ascii="Calibri" w:hAnsi="Calibri" w:cs="Calibri"/>
          <w:color w:val="1A1A1A"/>
          <w:sz w:val="22"/>
          <w:szCs w:val="22"/>
        </w:rPr>
      </w:pPr>
    </w:p>
    <w:p w14:paraId="12170EA0" w14:textId="77777777" w:rsidR="002E0216" w:rsidRDefault="002E0216" w:rsidP="00E74967">
      <w:pPr>
        <w:widowControl w:val="0"/>
        <w:autoSpaceDE w:val="0"/>
        <w:autoSpaceDN w:val="0"/>
        <w:adjustRightInd w:val="0"/>
        <w:rPr>
          <w:rFonts w:ascii="Calibri" w:hAnsi="Calibri" w:cs="Calibri"/>
          <w:color w:val="1A1A1A"/>
          <w:sz w:val="22"/>
          <w:szCs w:val="22"/>
        </w:rPr>
      </w:pPr>
    </w:p>
    <w:p w14:paraId="1998D6DC" w14:textId="77777777" w:rsidR="002E0216" w:rsidRPr="001766B3" w:rsidRDefault="002E0216" w:rsidP="00E74967">
      <w:pPr>
        <w:widowControl w:val="0"/>
        <w:autoSpaceDE w:val="0"/>
        <w:autoSpaceDN w:val="0"/>
        <w:adjustRightInd w:val="0"/>
        <w:rPr>
          <w:rFonts w:ascii="Calibri" w:hAnsi="Calibri" w:cs="Calibri"/>
          <w:color w:val="1A1A1A"/>
          <w:sz w:val="22"/>
          <w:szCs w:val="22"/>
        </w:rPr>
      </w:pPr>
    </w:p>
    <w:p w14:paraId="5C7B0FAE" w14:textId="77777777" w:rsidR="00E74967" w:rsidRPr="001766B3" w:rsidRDefault="00E74967" w:rsidP="00E74967">
      <w:pPr>
        <w:widowControl w:val="0"/>
        <w:autoSpaceDE w:val="0"/>
        <w:autoSpaceDN w:val="0"/>
        <w:adjustRightInd w:val="0"/>
        <w:rPr>
          <w:rFonts w:ascii="Calibri" w:hAnsi="Calibri" w:cs="Calibri"/>
          <w:color w:val="1A1A1A"/>
          <w:sz w:val="22"/>
          <w:szCs w:val="22"/>
        </w:rPr>
      </w:pPr>
    </w:p>
    <w:p w14:paraId="78156EF5" w14:textId="77777777" w:rsidR="00E74967" w:rsidRPr="001766B3" w:rsidRDefault="00E74967" w:rsidP="00E74967">
      <w:pPr>
        <w:widowControl w:val="0"/>
        <w:autoSpaceDE w:val="0"/>
        <w:autoSpaceDN w:val="0"/>
        <w:adjustRightInd w:val="0"/>
        <w:rPr>
          <w:rFonts w:ascii="Calibri" w:hAnsi="Calibri" w:cs="Calibri"/>
          <w:color w:val="1A1A1A"/>
          <w:sz w:val="22"/>
          <w:szCs w:val="22"/>
        </w:rPr>
      </w:pPr>
    </w:p>
    <w:p w14:paraId="694EAAA8" w14:textId="77777777" w:rsidR="00E74967" w:rsidRPr="001766B3" w:rsidRDefault="00E74967" w:rsidP="00E74967">
      <w:pPr>
        <w:widowControl w:val="0"/>
        <w:autoSpaceDE w:val="0"/>
        <w:autoSpaceDN w:val="0"/>
        <w:adjustRightInd w:val="0"/>
        <w:rPr>
          <w:rFonts w:ascii="Calibri" w:hAnsi="Calibri" w:cs="Calibri"/>
          <w:color w:val="1A1A1A"/>
          <w:sz w:val="22"/>
          <w:szCs w:val="22"/>
        </w:rPr>
      </w:pPr>
    </w:p>
    <w:p w14:paraId="09F5E067" w14:textId="77777777" w:rsidR="00E74967" w:rsidRPr="001766B3" w:rsidRDefault="00E74967" w:rsidP="00E74967">
      <w:pPr>
        <w:widowControl w:val="0"/>
        <w:autoSpaceDE w:val="0"/>
        <w:autoSpaceDN w:val="0"/>
        <w:adjustRightInd w:val="0"/>
        <w:rPr>
          <w:rFonts w:ascii="Calibri" w:hAnsi="Calibri" w:cs="Calibri"/>
          <w:color w:val="1A1A1A"/>
          <w:sz w:val="22"/>
          <w:szCs w:val="22"/>
        </w:rPr>
      </w:pPr>
    </w:p>
    <w:p w14:paraId="5F578685" w14:textId="77777777" w:rsidR="00E74967" w:rsidRPr="001766B3" w:rsidRDefault="00E74967" w:rsidP="00E74967">
      <w:pPr>
        <w:widowControl w:val="0"/>
        <w:autoSpaceDE w:val="0"/>
        <w:autoSpaceDN w:val="0"/>
        <w:adjustRightInd w:val="0"/>
        <w:rPr>
          <w:rFonts w:ascii="Calibri" w:hAnsi="Calibri" w:cs="Calibri"/>
          <w:color w:val="1A1A1A"/>
          <w:sz w:val="22"/>
          <w:szCs w:val="22"/>
        </w:rPr>
      </w:pPr>
      <w:r w:rsidRPr="001766B3">
        <w:rPr>
          <w:rFonts w:ascii="Calibri" w:hAnsi="Calibri" w:cs="Calibri"/>
          <w:color w:val="1A1A1A"/>
          <w:sz w:val="22"/>
          <w:szCs w:val="22"/>
        </w:rPr>
        <w:lastRenderedPageBreak/>
        <w:t>Chart 6.</w:t>
      </w:r>
    </w:p>
    <w:p w14:paraId="3BD0928E" w14:textId="77777777" w:rsidR="00E74967" w:rsidRPr="001766B3" w:rsidRDefault="00E74967" w:rsidP="00E74967">
      <w:pPr>
        <w:widowControl w:val="0"/>
        <w:autoSpaceDE w:val="0"/>
        <w:autoSpaceDN w:val="0"/>
        <w:adjustRightInd w:val="0"/>
        <w:rPr>
          <w:rFonts w:ascii="Cambria" w:hAnsi="Cambria" w:cs="Cambria"/>
          <w:color w:val="1A1A1A"/>
        </w:rPr>
      </w:pPr>
      <w:r w:rsidRPr="001766B3">
        <w:rPr>
          <w:rFonts w:ascii="Cambria" w:hAnsi="Cambria" w:cs="Cambria"/>
          <w:color w:val="1A1A1A"/>
        </w:rPr>
        <w:t> </w:t>
      </w:r>
      <w:r w:rsidRPr="001766B3">
        <w:rPr>
          <w:noProof/>
          <w:lang w:val="en-US"/>
        </w:rPr>
        <w:drawing>
          <wp:inline distT="0" distB="0" distL="0" distR="0" wp14:anchorId="4F795A48" wp14:editId="7D894B80">
            <wp:extent cx="4570730" cy="2741930"/>
            <wp:effectExtent l="0" t="0" r="26670" b="26670"/>
            <wp:docPr id="6" name="Picture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B931D30" w14:textId="77777777" w:rsidR="00E74967" w:rsidRPr="001766B3" w:rsidRDefault="00E74967" w:rsidP="00E74967">
      <w:pPr>
        <w:widowControl w:val="0"/>
        <w:autoSpaceDE w:val="0"/>
        <w:autoSpaceDN w:val="0"/>
        <w:adjustRightInd w:val="0"/>
        <w:rPr>
          <w:rFonts w:ascii="Cambria" w:hAnsi="Cambria" w:cs="Cambria"/>
          <w:color w:val="1A1A1A"/>
          <w:sz w:val="22"/>
          <w:szCs w:val="22"/>
        </w:rPr>
      </w:pPr>
    </w:p>
    <w:p w14:paraId="65D39ED7" w14:textId="3ED0F33C" w:rsidR="00E74967" w:rsidRPr="001766B3" w:rsidRDefault="00E74967" w:rsidP="00E74967">
      <w:pPr>
        <w:widowControl w:val="0"/>
        <w:autoSpaceDE w:val="0"/>
        <w:autoSpaceDN w:val="0"/>
        <w:adjustRightInd w:val="0"/>
        <w:rPr>
          <w:rFonts w:ascii="Cambria" w:hAnsi="Cambria" w:cs="Cambria"/>
          <w:color w:val="1A1A1A"/>
          <w:sz w:val="22"/>
          <w:szCs w:val="22"/>
        </w:rPr>
      </w:pPr>
      <w:r w:rsidRPr="001766B3">
        <w:rPr>
          <w:rFonts w:ascii="Cambria" w:hAnsi="Cambria" w:cs="Cambria"/>
          <w:color w:val="1A1A1A"/>
          <w:sz w:val="22"/>
          <w:szCs w:val="22"/>
        </w:rPr>
        <w:t>If the OCC and thus the assets relative to labour</w:t>
      </w:r>
      <w:r w:rsidRPr="001766B3">
        <w:rPr>
          <w:rFonts w:ascii="Cambria" w:hAnsi="Cambria" w:cs="Cambria"/>
          <w:color w:val="FB0207"/>
          <w:sz w:val="22"/>
          <w:szCs w:val="22"/>
        </w:rPr>
        <w:t xml:space="preserve"> </w:t>
      </w:r>
      <w:r w:rsidRPr="001766B3">
        <w:rPr>
          <w:rFonts w:ascii="Cambria" w:hAnsi="Cambria" w:cs="Cambria"/>
          <w:color w:val="1A1A1A"/>
          <w:sz w:val="22"/>
          <w:szCs w:val="22"/>
        </w:rPr>
        <w:t xml:space="preserve">rise </w:t>
      </w:r>
      <w:r w:rsidR="00070664">
        <w:rPr>
          <w:rFonts w:ascii="Cambria" w:hAnsi="Cambria" w:cs="Cambria"/>
          <w:color w:val="1A1A1A"/>
          <w:sz w:val="22"/>
          <w:szCs w:val="22"/>
        </w:rPr>
        <w:t xml:space="preserve">tendentially but </w:t>
      </w:r>
      <w:r w:rsidRPr="001766B3">
        <w:rPr>
          <w:rFonts w:ascii="Cambria" w:hAnsi="Cambria" w:cs="Cambria"/>
          <w:color w:val="1A1A1A"/>
          <w:sz w:val="22"/>
          <w:szCs w:val="22"/>
        </w:rPr>
        <w:t xml:space="preserve">persistently while the CE-ARP falls </w:t>
      </w:r>
      <w:r w:rsidR="00070664">
        <w:rPr>
          <w:rFonts w:ascii="Cambria" w:hAnsi="Cambria" w:cs="Cambria"/>
          <w:color w:val="1A1A1A"/>
          <w:sz w:val="22"/>
          <w:szCs w:val="22"/>
        </w:rPr>
        <w:t xml:space="preserve">tendentially but </w:t>
      </w:r>
      <w:r w:rsidRPr="001766B3">
        <w:rPr>
          <w:rFonts w:ascii="Cambria" w:hAnsi="Cambria" w:cs="Cambria"/>
          <w:color w:val="1A1A1A"/>
          <w:sz w:val="22"/>
          <w:szCs w:val="22"/>
        </w:rPr>
        <w:t>persistently, assets cannot produce surplus value. So they do not produce value either. Marx’s basic assumption is empirically substantiated. </w:t>
      </w:r>
    </w:p>
    <w:p w14:paraId="0281873C" w14:textId="77777777" w:rsidR="00E74967" w:rsidRPr="001766B3" w:rsidRDefault="00E74967" w:rsidP="00E74967">
      <w:pPr>
        <w:widowControl w:val="0"/>
        <w:autoSpaceDE w:val="0"/>
        <w:autoSpaceDN w:val="0"/>
        <w:adjustRightInd w:val="0"/>
        <w:rPr>
          <w:rFonts w:ascii="Cambria" w:hAnsi="Cambria" w:cs="Cambria"/>
          <w:color w:val="1A1A1A"/>
          <w:sz w:val="22"/>
          <w:szCs w:val="22"/>
        </w:rPr>
      </w:pPr>
    </w:p>
    <w:p w14:paraId="3E2DB634" w14:textId="6D8A4744" w:rsidR="00E74967" w:rsidRPr="001766B3" w:rsidRDefault="00E74967" w:rsidP="00E74967">
      <w:pPr>
        <w:widowControl w:val="0"/>
        <w:autoSpaceDE w:val="0"/>
        <w:autoSpaceDN w:val="0"/>
        <w:adjustRightInd w:val="0"/>
        <w:rPr>
          <w:rFonts w:ascii="Cambria" w:hAnsi="Cambria" w:cs="Cambria"/>
          <w:color w:val="262626"/>
          <w:sz w:val="22"/>
          <w:szCs w:val="22"/>
        </w:rPr>
      </w:pPr>
      <w:r w:rsidRPr="001766B3">
        <w:rPr>
          <w:rFonts w:ascii="Cambria" w:hAnsi="Cambria" w:cs="Cambria"/>
          <w:b/>
          <w:sz w:val="22"/>
          <w:szCs w:val="22"/>
        </w:rPr>
        <w:t>Ninth critique</w:t>
      </w:r>
      <w:r w:rsidRPr="001766B3">
        <w:rPr>
          <w:rFonts w:ascii="Cambria" w:hAnsi="Cambria" w:cs="Cambria"/>
          <w:sz w:val="22"/>
          <w:szCs w:val="22"/>
        </w:rPr>
        <w:t xml:space="preserve">. </w:t>
      </w:r>
      <w:r w:rsidR="00005808">
        <w:rPr>
          <w:rFonts w:ascii="Cambria" w:hAnsi="Cambria" w:cs="Cambria"/>
          <w:color w:val="262626"/>
          <w:sz w:val="22"/>
          <w:szCs w:val="22"/>
        </w:rPr>
        <w:t>If</w:t>
      </w:r>
      <w:r w:rsidR="00005808" w:rsidRPr="001766B3">
        <w:rPr>
          <w:rFonts w:ascii="Cambria" w:hAnsi="Cambria" w:cs="Cambria"/>
          <w:color w:val="262626"/>
          <w:sz w:val="22"/>
          <w:szCs w:val="22"/>
        </w:rPr>
        <w:t xml:space="preserve"> crisis are caused by falling profitability, supposedly </w:t>
      </w:r>
      <w:proofErr w:type="gramStart"/>
      <w:r w:rsidR="00005808" w:rsidRPr="007819ED">
        <w:rPr>
          <w:rFonts w:ascii="Cambria" w:hAnsi="Cambria" w:cs="Cambria"/>
          <w:iCs/>
          <w:color w:val="262626"/>
          <w:sz w:val="22"/>
          <w:szCs w:val="22"/>
        </w:rPr>
        <w:t xml:space="preserve">crises must be </w:t>
      </w:r>
      <w:r w:rsidR="00031CBD" w:rsidRPr="007819ED">
        <w:rPr>
          <w:rFonts w:ascii="Cambria" w:hAnsi="Cambria" w:cs="Cambria"/>
          <w:i/>
          <w:iCs/>
          <w:color w:val="262626"/>
          <w:sz w:val="22"/>
          <w:szCs w:val="22"/>
        </w:rPr>
        <w:t>immediately</w:t>
      </w:r>
      <w:r w:rsidR="00031CBD" w:rsidRPr="007819ED">
        <w:rPr>
          <w:rFonts w:ascii="Cambria" w:hAnsi="Cambria" w:cs="Cambria"/>
          <w:iCs/>
          <w:color w:val="262626"/>
          <w:sz w:val="22"/>
          <w:szCs w:val="22"/>
        </w:rPr>
        <w:t xml:space="preserve"> </w:t>
      </w:r>
      <w:r w:rsidR="00005808" w:rsidRPr="007819ED">
        <w:rPr>
          <w:rFonts w:ascii="Cambria" w:hAnsi="Cambria" w:cs="Cambria"/>
          <w:iCs/>
          <w:color w:val="262626"/>
          <w:sz w:val="22"/>
          <w:szCs w:val="22"/>
        </w:rPr>
        <w:t>preceded by a falling ARP</w:t>
      </w:r>
      <w:proofErr w:type="gramEnd"/>
      <w:r w:rsidR="00005808" w:rsidRPr="001766B3">
        <w:rPr>
          <w:rFonts w:ascii="Cambria" w:hAnsi="Cambria" w:cs="Cambria"/>
          <w:i/>
          <w:iCs/>
          <w:color w:val="262626"/>
          <w:sz w:val="22"/>
          <w:szCs w:val="22"/>
        </w:rPr>
        <w:t>.</w:t>
      </w:r>
      <w:r w:rsidR="00005808" w:rsidRPr="001766B3">
        <w:rPr>
          <w:rFonts w:ascii="Cambria" w:hAnsi="Cambria" w:cs="Cambria"/>
          <w:color w:val="262626"/>
          <w:sz w:val="22"/>
          <w:szCs w:val="22"/>
        </w:rPr>
        <w:t xml:space="preserve"> </w:t>
      </w:r>
      <w:r w:rsidR="00005808">
        <w:rPr>
          <w:rFonts w:ascii="Cambria" w:hAnsi="Cambria" w:cs="Cambria"/>
          <w:color w:val="262626"/>
          <w:sz w:val="22"/>
          <w:szCs w:val="22"/>
        </w:rPr>
        <w:t>But t</w:t>
      </w:r>
      <w:r w:rsidRPr="001766B3">
        <w:rPr>
          <w:rFonts w:ascii="Cambria" w:hAnsi="Cambria" w:cs="Cambria"/>
          <w:color w:val="262626"/>
          <w:sz w:val="22"/>
          <w:szCs w:val="22"/>
        </w:rPr>
        <w:t>he 2007-</w:t>
      </w:r>
      <w:r w:rsidR="007819ED">
        <w:rPr>
          <w:rFonts w:ascii="Cambria" w:hAnsi="Cambria" w:cs="Cambria"/>
          <w:color w:val="262626"/>
          <w:sz w:val="22"/>
          <w:szCs w:val="22"/>
        </w:rPr>
        <w:t>0</w:t>
      </w:r>
      <w:r w:rsidRPr="001766B3">
        <w:rPr>
          <w:rFonts w:ascii="Cambria" w:hAnsi="Cambria" w:cs="Cambria"/>
          <w:color w:val="262626"/>
          <w:sz w:val="22"/>
          <w:szCs w:val="22"/>
        </w:rPr>
        <w:t xml:space="preserve">9 </w:t>
      </w:r>
      <w:proofErr w:type="gramStart"/>
      <w:r w:rsidRPr="001766B3">
        <w:rPr>
          <w:rFonts w:ascii="Cambria" w:hAnsi="Cambria" w:cs="Cambria"/>
          <w:color w:val="262626"/>
          <w:sz w:val="22"/>
          <w:szCs w:val="22"/>
        </w:rPr>
        <w:t>crisis</w:t>
      </w:r>
      <w:proofErr w:type="gramEnd"/>
      <w:r w:rsidRPr="001766B3">
        <w:rPr>
          <w:rFonts w:ascii="Cambria" w:hAnsi="Cambria" w:cs="Cambria"/>
          <w:color w:val="262626"/>
          <w:sz w:val="22"/>
          <w:szCs w:val="22"/>
        </w:rPr>
        <w:t xml:space="preserve"> has been preceded by 4 yea</w:t>
      </w:r>
      <w:r w:rsidR="00005808">
        <w:rPr>
          <w:rFonts w:ascii="Cambria" w:hAnsi="Cambria" w:cs="Cambria"/>
          <w:color w:val="262626"/>
          <w:sz w:val="22"/>
          <w:szCs w:val="22"/>
        </w:rPr>
        <w:t xml:space="preserve">rs of rising profitability. </w:t>
      </w:r>
      <w:r w:rsidRPr="001766B3">
        <w:rPr>
          <w:rFonts w:ascii="Cambria" w:hAnsi="Cambria" w:cs="Cambria"/>
          <w:color w:val="262626"/>
          <w:sz w:val="22"/>
          <w:szCs w:val="22"/>
        </w:rPr>
        <w:t>Again, the Law would seem to have ceased operating. </w:t>
      </w:r>
    </w:p>
    <w:p w14:paraId="7AB3C593" w14:textId="77777777" w:rsidR="00E74967" w:rsidRPr="001766B3" w:rsidRDefault="00E74967" w:rsidP="00E74967">
      <w:pPr>
        <w:widowControl w:val="0"/>
        <w:autoSpaceDE w:val="0"/>
        <w:autoSpaceDN w:val="0"/>
        <w:adjustRightInd w:val="0"/>
        <w:rPr>
          <w:rFonts w:ascii="Cambria" w:hAnsi="Cambria" w:cs="Cambria"/>
          <w:color w:val="262626"/>
          <w:sz w:val="22"/>
          <w:szCs w:val="22"/>
        </w:rPr>
      </w:pPr>
    </w:p>
    <w:p w14:paraId="5DAFA3B1" w14:textId="515CB6EB" w:rsidR="00E74967" w:rsidRPr="003A7F8A" w:rsidRDefault="007C15D9" w:rsidP="00E74967">
      <w:pPr>
        <w:widowControl w:val="0"/>
        <w:autoSpaceDE w:val="0"/>
        <w:autoSpaceDN w:val="0"/>
        <w:adjustRightInd w:val="0"/>
        <w:rPr>
          <w:rFonts w:ascii="Cambria" w:hAnsi="Cambria" w:cs="Cambria"/>
          <w:sz w:val="22"/>
          <w:szCs w:val="22"/>
        </w:rPr>
      </w:pPr>
      <w:r>
        <w:rPr>
          <w:rFonts w:ascii="Cambria" w:hAnsi="Cambria" w:cs="Cambria"/>
          <w:color w:val="262626"/>
          <w:sz w:val="22"/>
          <w:szCs w:val="22"/>
        </w:rPr>
        <w:t xml:space="preserve">What is the Law about? </w:t>
      </w:r>
      <w:r w:rsidR="00D44C19">
        <w:rPr>
          <w:rFonts w:ascii="Cambria" w:hAnsi="Cambria" w:cs="Cambria"/>
          <w:color w:val="262626"/>
          <w:sz w:val="22"/>
          <w:szCs w:val="22"/>
        </w:rPr>
        <w:t>T</w:t>
      </w:r>
      <w:r w:rsidR="00432E19">
        <w:rPr>
          <w:rFonts w:ascii="Cambria" w:hAnsi="Cambria" w:cs="Cambria"/>
          <w:color w:val="262626"/>
          <w:sz w:val="22"/>
          <w:szCs w:val="22"/>
        </w:rPr>
        <w:t xml:space="preserve">he </w:t>
      </w:r>
      <w:r w:rsidR="008A5AA1" w:rsidRPr="001766B3">
        <w:rPr>
          <w:rFonts w:ascii="Cambria" w:hAnsi="Cambria" w:cs="Cambria"/>
          <w:color w:val="262626"/>
          <w:sz w:val="22"/>
          <w:szCs w:val="22"/>
        </w:rPr>
        <w:t xml:space="preserve">Law specifies an inverse relation between the OCC and the </w:t>
      </w:r>
      <w:r w:rsidR="004718C3">
        <w:rPr>
          <w:rFonts w:ascii="Cambria" w:hAnsi="Cambria" w:cs="Cambria"/>
          <w:color w:val="262626"/>
          <w:sz w:val="22"/>
          <w:szCs w:val="22"/>
        </w:rPr>
        <w:t>ROP</w:t>
      </w:r>
      <w:r w:rsidR="008A5AA1" w:rsidRPr="003A7F8A">
        <w:rPr>
          <w:rFonts w:ascii="Cambria" w:hAnsi="Cambria" w:cs="Cambria"/>
          <w:sz w:val="22"/>
          <w:szCs w:val="22"/>
        </w:rPr>
        <w:t>. When the former rises, the latter falls</w:t>
      </w:r>
      <w:r w:rsidR="008A5AA1">
        <w:rPr>
          <w:rFonts w:ascii="Cambria" w:hAnsi="Cambria" w:cs="Cambria"/>
          <w:sz w:val="22"/>
          <w:szCs w:val="22"/>
        </w:rPr>
        <w:t xml:space="preserve"> and vice versa</w:t>
      </w:r>
      <w:r w:rsidR="008A5AA1" w:rsidRPr="003A7F8A">
        <w:rPr>
          <w:rFonts w:ascii="Cambria" w:hAnsi="Cambria" w:cs="Cambria"/>
          <w:sz w:val="22"/>
          <w:szCs w:val="22"/>
        </w:rPr>
        <w:t xml:space="preserve">. </w:t>
      </w:r>
      <w:r w:rsidR="00D44C19">
        <w:rPr>
          <w:rFonts w:ascii="Cambria" w:hAnsi="Cambria" w:cs="Cambria"/>
          <w:sz w:val="22"/>
          <w:szCs w:val="22"/>
        </w:rPr>
        <w:t>From t</w:t>
      </w:r>
      <w:r w:rsidR="003A0A9E">
        <w:rPr>
          <w:rFonts w:ascii="Cambria" w:hAnsi="Cambria" w:cs="Cambria"/>
          <w:sz w:val="22"/>
          <w:szCs w:val="22"/>
        </w:rPr>
        <w:t>his</w:t>
      </w:r>
      <w:r w:rsidR="00D44C19">
        <w:rPr>
          <w:rFonts w:ascii="Cambria" w:hAnsi="Cambria" w:cs="Cambria"/>
          <w:sz w:val="22"/>
          <w:szCs w:val="22"/>
        </w:rPr>
        <w:t>,</w:t>
      </w:r>
      <w:r w:rsidR="003A0A9E">
        <w:rPr>
          <w:rFonts w:ascii="Cambria" w:hAnsi="Cambria" w:cs="Cambria"/>
          <w:sz w:val="22"/>
          <w:szCs w:val="22"/>
        </w:rPr>
        <w:t xml:space="preserve"> </w:t>
      </w:r>
      <w:r w:rsidR="00D44C19">
        <w:rPr>
          <w:rFonts w:ascii="Cambria" w:hAnsi="Cambria" w:cs="Cambria"/>
          <w:sz w:val="22"/>
          <w:szCs w:val="22"/>
        </w:rPr>
        <w:t>it does not follow</w:t>
      </w:r>
      <w:r w:rsidR="003A0A9E">
        <w:rPr>
          <w:rFonts w:ascii="Cambria" w:hAnsi="Cambria" w:cs="Cambria"/>
          <w:sz w:val="22"/>
          <w:szCs w:val="22"/>
        </w:rPr>
        <w:t xml:space="preserve"> that crises</w:t>
      </w:r>
      <w:r w:rsidR="00E74967" w:rsidRPr="001766B3">
        <w:rPr>
          <w:rFonts w:ascii="Cambria" w:hAnsi="Cambria" w:cs="Cambria"/>
          <w:color w:val="1A1A1A"/>
          <w:sz w:val="22"/>
          <w:szCs w:val="22"/>
        </w:rPr>
        <w:t xml:space="preserve"> must necessarily be </w:t>
      </w:r>
      <w:r w:rsidR="00031CBD" w:rsidRPr="00031CBD">
        <w:rPr>
          <w:rFonts w:ascii="Cambria" w:hAnsi="Cambria" w:cs="Cambria"/>
          <w:i/>
          <w:color w:val="1A1A1A"/>
          <w:sz w:val="22"/>
          <w:szCs w:val="22"/>
        </w:rPr>
        <w:t>immediately</w:t>
      </w:r>
      <w:r w:rsidR="00031CBD">
        <w:rPr>
          <w:rFonts w:ascii="Cambria" w:hAnsi="Cambria" w:cs="Cambria"/>
          <w:color w:val="1A1A1A"/>
          <w:sz w:val="22"/>
          <w:szCs w:val="22"/>
        </w:rPr>
        <w:t xml:space="preserve"> </w:t>
      </w:r>
      <w:r w:rsidR="00E74967" w:rsidRPr="001766B3">
        <w:rPr>
          <w:rFonts w:ascii="Cambria" w:hAnsi="Cambria" w:cs="Cambria"/>
          <w:color w:val="1A1A1A"/>
          <w:sz w:val="22"/>
          <w:szCs w:val="22"/>
        </w:rPr>
        <w:t xml:space="preserve">preceded by one or more years of falling profitability. </w:t>
      </w:r>
      <w:r w:rsidR="003A0A9E">
        <w:rPr>
          <w:rFonts w:ascii="Cambria" w:hAnsi="Cambria" w:cs="Cambria"/>
          <w:color w:val="1A1A1A"/>
          <w:sz w:val="22"/>
          <w:szCs w:val="22"/>
        </w:rPr>
        <w:t>They may</w:t>
      </w:r>
      <w:r w:rsidR="008A6D58">
        <w:rPr>
          <w:rFonts w:ascii="Cambria" w:hAnsi="Cambria" w:cs="Cambria"/>
          <w:color w:val="1A1A1A"/>
          <w:sz w:val="22"/>
          <w:szCs w:val="22"/>
        </w:rPr>
        <w:t xml:space="preserve"> or </w:t>
      </w:r>
      <w:r w:rsidR="00E74967" w:rsidRPr="001766B3">
        <w:rPr>
          <w:rFonts w:ascii="Cambria" w:hAnsi="Cambria" w:cs="Cambria"/>
          <w:color w:val="1A1A1A"/>
          <w:sz w:val="22"/>
          <w:szCs w:val="22"/>
        </w:rPr>
        <w:t xml:space="preserve">may not. </w:t>
      </w:r>
      <w:r w:rsidR="00D44C19">
        <w:rPr>
          <w:rFonts w:ascii="Cambria" w:hAnsi="Cambria" w:cs="Cambria"/>
          <w:color w:val="1A1A1A"/>
          <w:sz w:val="22"/>
          <w:szCs w:val="22"/>
        </w:rPr>
        <w:t xml:space="preserve">It depends on when the OCC inverts its direction. </w:t>
      </w:r>
      <w:r>
        <w:rPr>
          <w:rFonts w:ascii="Cambria" w:hAnsi="Cambria" w:cs="Cambria"/>
          <w:color w:val="1A1A1A"/>
          <w:sz w:val="22"/>
          <w:szCs w:val="22"/>
        </w:rPr>
        <w:t xml:space="preserve">If it inverts its direction right after an upward profitability cycle, the crisis follows a period of rising profitability. </w:t>
      </w:r>
      <w:r w:rsidR="00D44C19">
        <w:rPr>
          <w:rFonts w:ascii="Cambria" w:hAnsi="Cambria" w:cs="Cambria"/>
          <w:color w:val="1A1A1A"/>
          <w:sz w:val="22"/>
          <w:szCs w:val="22"/>
        </w:rPr>
        <w:t>S</w:t>
      </w:r>
      <w:r w:rsidR="00E74967" w:rsidRPr="001766B3">
        <w:rPr>
          <w:rFonts w:ascii="Cambria" w:hAnsi="Cambria" w:cs="Cambria"/>
          <w:color w:val="262626"/>
          <w:sz w:val="22"/>
          <w:szCs w:val="22"/>
        </w:rPr>
        <w:t>ince</w:t>
      </w:r>
      <w:r w:rsidR="00E74967" w:rsidRPr="001766B3">
        <w:rPr>
          <w:rFonts w:ascii="Cambria" w:hAnsi="Cambria" w:cs="Cambria"/>
          <w:color w:val="1A1A1A"/>
          <w:sz w:val="22"/>
          <w:szCs w:val="22"/>
        </w:rPr>
        <w:t xml:space="preserve"> an </w:t>
      </w:r>
      <w:r w:rsidR="008A6D58">
        <w:rPr>
          <w:rFonts w:ascii="Cambria" w:hAnsi="Cambria" w:cs="Cambria"/>
          <w:color w:val="1A1A1A"/>
          <w:sz w:val="22"/>
          <w:szCs w:val="22"/>
        </w:rPr>
        <w:t>ascending</w:t>
      </w:r>
      <w:r w:rsidR="00E74967" w:rsidRPr="001766B3">
        <w:rPr>
          <w:rFonts w:ascii="Cambria" w:hAnsi="Cambria" w:cs="Cambria"/>
          <w:color w:val="1A1A1A"/>
          <w:sz w:val="22"/>
          <w:szCs w:val="22"/>
        </w:rPr>
        <w:t xml:space="preserve"> cycle </w:t>
      </w:r>
      <w:proofErr w:type="gramStart"/>
      <w:r w:rsidR="00E74967" w:rsidRPr="001766B3">
        <w:rPr>
          <w:rFonts w:ascii="Cambria" w:hAnsi="Cambria" w:cs="Cambria"/>
          <w:color w:val="1A1A1A"/>
          <w:sz w:val="22"/>
          <w:szCs w:val="22"/>
        </w:rPr>
        <w:t>precedes</w:t>
      </w:r>
      <w:proofErr w:type="gramEnd"/>
      <w:r w:rsidR="00E74967" w:rsidRPr="001766B3">
        <w:rPr>
          <w:rFonts w:ascii="Cambria" w:hAnsi="Cambria" w:cs="Cambria"/>
          <w:color w:val="1A1A1A"/>
          <w:sz w:val="22"/>
          <w:szCs w:val="22"/>
        </w:rPr>
        <w:t xml:space="preserve"> always a downward cycle, there is nothing strange about crises being preceded by one or more years of rising profitability. </w:t>
      </w:r>
      <w:proofErr w:type="gramStart"/>
      <w:r w:rsidR="00E74967" w:rsidRPr="003A7F8A">
        <w:rPr>
          <w:rFonts w:ascii="Cambria" w:hAnsi="Cambria" w:cs="Cambria"/>
          <w:sz w:val="22"/>
          <w:szCs w:val="22"/>
        </w:rPr>
        <w:t xml:space="preserve">The </w:t>
      </w:r>
      <w:r w:rsidR="00A30044" w:rsidRPr="003A7F8A">
        <w:rPr>
          <w:rFonts w:ascii="Cambria" w:hAnsi="Cambria" w:cs="Cambria"/>
          <w:sz w:val="22"/>
          <w:szCs w:val="22"/>
        </w:rPr>
        <w:t xml:space="preserve">crises </w:t>
      </w:r>
      <w:r w:rsidR="00237B0B" w:rsidRPr="003A7F8A">
        <w:rPr>
          <w:rFonts w:ascii="Cambria" w:hAnsi="Cambria" w:cs="Cambria"/>
          <w:sz w:val="22"/>
          <w:szCs w:val="22"/>
        </w:rPr>
        <w:t>of 1980</w:t>
      </w:r>
      <w:r w:rsidR="00E74967" w:rsidRPr="003A7F8A">
        <w:rPr>
          <w:rFonts w:ascii="Cambria" w:hAnsi="Cambria" w:cs="Cambria"/>
          <w:sz w:val="22"/>
          <w:szCs w:val="22"/>
        </w:rPr>
        <w:t xml:space="preserve">-82, </w:t>
      </w:r>
      <w:r w:rsidR="00237B0B">
        <w:rPr>
          <w:rFonts w:ascii="Cambria" w:hAnsi="Cambria" w:cs="Cambria"/>
          <w:sz w:val="22"/>
          <w:szCs w:val="22"/>
        </w:rPr>
        <w:t xml:space="preserve">1990-91, and </w:t>
      </w:r>
      <w:r w:rsidR="00E74967" w:rsidRPr="003A7F8A">
        <w:rPr>
          <w:rFonts w:ascii="Cambria" w:hAnsi="Cambria" w:cs="Cambria"/>
          <w:sz w:val="22"/>
          <w:szCs w:val="22"/>
        </w:rPr>
        <w:t>2001-2002</w:t>
      </w:r>
      <w:r w:rsidR="00237B0B" w:rsidRPr="003A7F8A">
        <w:rPr>
          <w:rFonts w:ascii="Cambria" w:hAnsi="Cambria" w:cs="Cambria"/>
          <w:sz w:val="22"/>
          <w:szCs w:val="22"/>
        </w:rPr>
        <w:t xml:space="preserve"> </w:t>
      </w:r>
      <w:r w:rsidR="00E74967" w:rsidRPr="003A7F8A">
        <w:rPr>
          <w:rFonts w:ascii="Cambria" w:hAnsi="Cambria" w:cs="Cambria"/>
          <w:sz w:val="22"/>
          <w:szCs w:val="22"/>
        </w:rPr>
        <w:t>are preceded</w:t>
      </w:r>
      <w:r w:rsidR="004718C3">
        <w:rPr>
          <w:rFonts w:ascii="Cambria" w:hAnsi="Cambria" w:cs="Cambria"/>
          <w:sz w:val="22"/>
          <w:szCs w:val="22"/>
        </w:rPr>
        <w:t xml:space="preserve"> by falling profitability</w:t>
      </w:r>
      <w:proofErr w:type="gramEnd"/>
      <w:r w:rsidR="004718C3">
        <w:rPr>
          <w:rFonts w:ascii="Cambria" w:hAnsi="Cambria" w:cs="Cambria"/>
          <w:sz w:val="22"/>
          <w:szCs w:val="22"/>
        </w:rPr>
        <w:t>. But t</w:t>
      </w:r>
      <w:r w:rsidR="00E74967" w:rsidRPr="003A7F8A">
        <w:rPr>
          <w:rFonts w:ascii="Cambria" w:hAnsi="Cambria" w:cs="Cambria"/>
          <w:sz w:val="22"/>
          <w:szCs w:val="22"/>
        </w:rPr>
        <w:t xml:space="preserve">he </w:t>
      </w:r>
      <w:r w:rsidR="00A30044" w:rsidRPr="003A7F8A">
        <w:rPr>
          <w:rFonts w:ascii="Cambria" w:hAnsi="Cambria" w:cs="Cambria"/>
          <w:sz w:val="22"/>
          <w:szCs w:val="22"/>
        </w:rPr>
        <w:t xml:space="preserve">crises of </w:t>
      </w:r>
      <w:r w:rsidR="00237B0B" w:rsidRPr="003A7F8A">
        <w:rPr>
          <w:rFonts w:ascii="Cambria" w:hAnsi="Cambria" w:cs="Cambria"/>
          <w:sz w:val="22"/>
          <w:szCs w:val="22"/>
        </w:rPr>
        <w:t>1954,</w:t>
      </w:r>
      <w:r w:rsidR="00237B0B">
        <w:rPr>
          <w:rFonts w:ascii="Cambria" w:hAnsi="Cambria" w:cs="Cambria"/>
          <w:sz w:val="22"/>
          <w:szCs w:val="22"/>
        </w:rPr>
        <w:t xml:space="preserve"> </w:t>
      </w:r>
      <w:r w:rsidR="00E74967" w:rsidRPr="003A7F8A">
        <w:rPr>
          <w:rFonts w:ascii="Cambria" w:hAnsi="Cambria" w:cs="Cambria"/>
          <w:sz w:val="22"/>
          <w:szCs w:val="22"/>
        </w:rPr>
        <w:t xml:space="preserve">1957-58, </w:t>
      </w:r>
      <w:r w:rsidR="00DF7EC2" w:rsidRPr="003A7F8A">
        <w:rPr>
          <w:rFonts w:ascii="Cambria" w:hAnsi="Cambria" w:cs="Cambria"/>
          <w:sz w:val="22"/>
          <w:szCs w:val="22"/>
        </w:rPr>
        <w:t xml:space="preserve">1960-61, 1970, 1974-75, </w:t>
      </w:r>
      <w:r w:rsidR="00E74967" w:rsidRPr="003A7F8A">
        <w:rPr>
          <w:rFonts w:ascii="Cambria" w:hAnsi="Cambria" w:cs="Cambria"/>
          <w:sz w:val="22"/>
          <w:szCs w:val="22"/>
        </w:rPr>
        <w:t>are preceded by rising profitability. </w:t>
      </w:r>
    </w:p>
    <w:p w14:paraId="3627B0EB" w14:textId="77777777" w:rsidR="00E74967" w:rsidRPr="003A7F8A" w:rsidRDefault="00E74967" w:rsidP="00E74967">
      <w:pPr>
        <w:widowControl w:val="0"/>
        <w:autoSpaceDE w:val="0"/>
        <w:autoSpaceDN w:val="0"/>
        <w:adjustRightInd w:val="0"/>
        <w:rPr>
          <w:rFonts w:ascii="Cambria" w:hAnsi="Cambria" w:cs="Cambria"/>
          <w:sz w:val="22"/>
          <w:szCs w:val="22"/>
        </w:rPr>
      </w:pPr>
    </w:p>
    <w:p w14:paraId="2BBAE543" w14:textId="59CB829C" w:rsidR="00E74967" w:rsidRDefault="00EC261E" w:rsidP="00E74967">
      <w:pPr>
        <w:widowControl w:val="0"/>
        <w:autoSpaceDE w:val="0"/>
        <w:autoSpaceDN w:val="0"/>
        <w:adjustRightInd w:val="0"/>
        <w:rPr>
          <w:rFonts w:ascii="Cambria" w:hAnsi="Cambria" w:cs="Cambria"/>
          <w:sz w:val="22"/>
          <w:szCs w:val="22"/>
        </w:rPr>
      </w:pPr>
      <w:r>
        <w:rPr>
          <w:rFonts w:ascii="Cambria" w:hAnsi="Cambria" w:cs="Cambria"/>
          <w:sz w:val="22"/>
          <w:szCs w:val="22"/>
        </w:rPr>
        <w:t>Also t</w:t>
      </w:r>
      <w:r w:rsidR="008A6D58">
        <w:rPr>
          <w:rFonts w:ascii="Cambria" w:hAnsi="Cambria" w:cs="Cambria"/>
          <w:sz w:val="22"/>
          <w:szCs w:val="22"/>
        </w:rPr>
        <w:t xml:space="preserve">he </w:t>
      </w:r>
      <w:r w:rsidR="00DF7EC2" w:rsidRPr="003A7F8A">
        <w:rPr>
          <w:rFonts w:ascii="Cambria" w:hAnsi="Cambria" w:cs="Cambria"/>
          <w:sz w:val="22"/>
          <w:szCs w:val="22"/>
        </w:rPr>
        <w:t>Great Recession has be</w:t>
      </w:r>
      <w:r w:rsidR="00E84D69" w:rsidRPr="003A7F8A">
        <w:rPr>
          <w:rFonts w:ascii="Cambria" w:hAnsi="Cambria" w:cs="Cambria"/>
          <w:sz w:val="22"/>
          <w:szCs w:val="22"/>
        </w:rPr>
        <w:t>e</w:t>
      </w:r>
      <w:r w:rsidR="00DF7EC2" w:rsidRPr="003A7F8A">
        <w:rPr>
          <w:rFonts w:ascii="Cambria" w:hAnsi="Cambria" w:cs="Cambria"/>
          <w:sz w:val="22"/>
          <w:szCs w:val="22"/>
        </w:rPr>
        <w:t>n preceded by rising profitability,</w:t>
      </w:r>
      <w:r w:rsidR="00E74967" w:rsidRPr="003A7F8A">
        <w:rPr>
          <w:rFonts w:ascii="Cambria" w:hAnsi="Cambria" w:cs="Cambria"/>
          <w:sz w:val="22"/>
          <w:szCs w:val="22"/>
        </w:rPr>
        <w:t xml:space="preserve"> the 2003-2006 </w:t>
      </w:r>
      <w:proofErr w:type="gramStart"/>
      <w:r w:rsidR="00E74967" w:rsidRPr="003A7F8A">
        <w:rPr>
          <w:rFonts w:ascii="Cambria" w:hAnsi="Cambria" w:cs="Cambria"/>
          <w:sz w:val="22"/>
          <w:szCs w:val="22"/>
        </w:rPr>
        <w:t>recovery</w:t>
      </w:r>
      <w:proofErr w:type="gramEnd"/>
      <w:r w:rsidR="00432E19">
        <w:rPr>
          <w:rFonts w:ascii="Cambria" w:hAnsi="Cambria" w:cs="Cambria"/>
          <w:sz w:val="22"/>
          <w:szCs w:val="22"/>
        </w:rPr>
        <w:t xml:space="preserve">. </w:t>
      </w:r>
      <w:r w:rsidR="00DF7130">
        <w:rPr>
          <w:rFonts w:ascii="Cambria" w:hAnsi="Cambria" w:cs="Cambria"/>
          <w:sz w:val="22"/>
          <w:szCs w:val="22"/>
        </w:rPr>
        <w:t>In these four years, t</w:t>
      </w:r>
      <w:r w:rsidR="00D44C19">
        <w:rPr>
          <w:rFonts w:ascii="Cambria" w:hAnsi="Cambria" w:cs="Cambria"/>
          <w:sz w:val="22"/>
          <w:szCs w:val="22"/>
        </w:rPr>
        <w:t>he</w:t>
      </w:r>
      <w:r w:rsidR="00080EDA">
        <w:rPr>
          <w:rFonts w:ascii="Cambria" w:hAnsi="Cambria" w:cs="Cambria"/>
          <w:sz w:val="22"/>
          <w:szCs w:val="22"/>
        </w:rPr>
        <w:t xml:space="preserve"> </w:t>
      </w:r>
      <w:r w:rsidR="008A6D58">
        <w:rPr>
          <w:rFonts w:ascii="Cambria" w:hAnsi="Cambria" w:cs="Cambria"/>
          <w:sz w:val="22"/>
          <w:szCs w:val="22"/>
        </w:rPr>
        <w:t>CE-ROP</w:t>
      </w:r>
      <w:r w:rsidR="00080EDA">
        <w:rPr>
          <w:rFonts w:ascii="Cambria" w:hAnsi="Cambria" w:cs="Cambria"/>
          <w:sz w:val="22"/>
          <w:szCs w:val="22"/>
        </w:rPr>
        <w:t xml:space="preserve"> rises from 7.1% to 7.5%</w:t>
      </w:r>
      <w:r w:rsidR="00D44C19">
        <w:rPr>
          <w:rFonts w:ascii="Cambria" w:hAnsi="Cambria" w:cs="Cambria"/>
          <w:sz w:val="22"/>
          <w:szCs w:val="22"/>
        </w:rPr>
        <w:t xml:space="preserve"> due to a fall in the OCC from 2.15 to 2.07</w:t>
      </w:r>
      <w:r w:rsidR="00080EDA">
        <w:rPr>
          <w:rFonts w:ascii="Cambria" w:hAnsi="Cambria" w:cs="Cambria"/>
          <w:sz w:val="22"/>
          <w:szCs w:val="22"/>
        </w:rPr>
        <w:t>.</w:t>
      </w:r>
      <w:r w:rsidR="003A0A9E">
        <w:rPr>
          <w:rFonts w:ascii="Cambria" w:hAnsi="Cambria" w:cs="Cambria"/>
          <w:sz w:val="22"/>
          <w:szCs w:val="22"/>
        </w:rPr>
        <w:t xml:space="preserve"> </w:t>
      </w:r>
      <w:r w:rsidR="008A6D58">
        <w:rPr>
          <w:rFonts w:ascii="Cambria" w:hAnsi="Cambria" w:cs="Cambria"/>
          <w:sz w:val="22"/>
          <w:szCs w:val="22"/>
        </w:rPr>
        <w:t>See</w:t>
      </w:r>
      <w:r w:rsidR="00D44C19">
        <w:rPr>
          <w:rFonts w:ascii="Cambria" w:hAnsi="Cambria" w:cs="Cambria"/>
          <w:sz w:val="22"/>
          <w:szCs w:val="22"/>
        </w:rPr>
        <w:t xml:space="preserve"> columns 2 and 6 of table 1</w:t>
      </w:r>
      <w:r w:rsidR="003A0A9E">
        <w:rPr>
          <w:rFonts w:ascii="Cambria" w:hAnsi="Cambria" w:cs="Cambria"/>
          <w:sz w:val="22"/>
          <w:szCs w:val="22"/>
        </w:rPr>
        <w:t>.</w:t>
      </w:r>
    </w:p>
    <w:p w14:paraId="3A1F60FF" w14:textId="77777777" w:rsidR="00561083" w:rsidRDefault="00561083" w:rsidP="00E74967">
      <w:pPr>
        <w:widowControl w:val="0"/>
        <w:autoSpaceDE w:val="0"/>
        <w:autoSpaceDN w:val="0"/>
        <w:adjustRightInd w:val="0"/>
        <w:rPr>
          <w:rFonts w:ascii="Cambria" w:hAnsi="Cambria" w:cs="Cambria"/>
          <w:sz w:val="22"/>
          <w:szCs w:val="22"/>
        </w:rPr>
      </w:pPr>
    </w:p>
    <w:p w14:paraId="60D8F1E6" w14:textId="07622A5E" w:rsidR="00561083" w:rsidRPr="005D0EA5" w:rsidRDefault="005D0EA5" w:rsidP="00E74967">
      <w:pPr>
        <w:widowControl w:val="0"/>
        <w:autoSpaceDE w:val="0"/>
        <w:autoSpaceDN w:val="0"/>
        <w:adjustRightInd w:val="0"/>
        <w:rPr>
          <w:rFonts w:ascii="Cambria" w:hAnsi="Cambria" w:cs="Cambria"/>
          <w:b/>
          <w:sz w:val="20"/>
          <w:szCs w:val="20"/>
        </w:rPr>
      </w:pPr>
      <w:r w:rsidRPr="005D0EA5">
        <w:rPr>
          <w:rFonts w:ascii="Cambria" w:hAnsi="Cambria" w:cs="Cambria"/>
          <w:b/>
          <w:sz w:val="20"/>
          <w:szCs w:val="20"/>
        </w:rPr>
        <w:t>Table 1.</w:t>
      </w:r>
    </w:p>
    <w:tbl>
      <w:tblPr>
        <w:tblStyle w:val="TableGrid"/>
        <w:tblW w:w="9464" w:type="dxa"/>
        <w:tblLook w:val="04A0" w:firstRow="1" w:lastRow="0" w:firstColumn="1" w:lastColumn="0" w:noHBand="0" w:noVBand="1"/>
      </w:tblPr>
      <w:tblGrid>
        <w:gridCol w:w="818"/>
        <w:gridCol w:w="991"/>
        <w:gridCol w:w="1134"/>
        <w:gridCol w:w="1418"/>
        <w:gridCol w:w="1276"/>
        <w:gridCol w:w="1701"/>
        <w:gridCol w:w="850"/>
        <w:gridCol w:w="1276"/>
      </w:tblGrid>
      <w:tr w:rsidR="00E5290B" w:rsidRPr="005D0EA5" w14:paraId="533E6DCE" w14:textId="77777777" w:rsidTr="00E5290B">
        <w:tc>
          <w:tcPr>
            <w:tcW w:w="818" w:type="dxa"/>
          </w:tcPr>
          <w:p w14:paraId="4AE25D47" w14:textId="77777777" w:rsidR="00561083" w:rsidRPr="005D0EA5" w:rsidRDefault="00561083" w:rsidP="00E74967">
            <w:pPr>
              <w:widowControl w:val="0"/>
              <w:autoSpaceDE w:val="0"/>
              <w:autoSpaceDN w:val="0"/>
              <w:adjustRightInd w:val="0"/>
              <w:rPr>
                <w:rFonts w:cs="Cambria"/>
                <w:sz w:val="16"/>
                <w:szCs w:val="16"/>
              </w:rPr>
            </w:pPr>
          </w:p>
        </w:tc>
        <w:tc>
          <w:tcPr>
            <w:tcW w:w="991" w:type="dxa"/>
          </w:tcPr>
          <w:p w14:paraId="692155FD" w14:textId="1C4FCF9B" w:rsidR="00561083" w:rsidRPr="005D0EA5" w:rsidRDefault="00561083" w:rsidP="00E74967">
            <w:pPr>
              <w:widowControl w:val="0"/>
              <w:autoSpaceDE w:val="0"/>
              <w:autoSpaceDN w:val="0"/>
              <w:adjustRightInd w:val="0"/>
              <w:rPr>
                <w:rFonts w:cs="Cambria"/>
                <w:sz w:val="16"/>
                <w:szCs w:val="16"/>
              </w:rPr>
            </w:pPr>
            <w:r w:rsidRPr="005D0EA5">
              <w:rPr>
                <w:rFonts w:ascii="Arial" w:hAnsi="Arial" w:cs="Arial"/>
                <w:bCs/>
                <w:sz w:val="16"/>
                <w:szCs w:val="16"/>
              </w:rPr>
              <w:t>ARP (1)</w:t>
            </w:r>
          </w:p>
        </w:tc>
        <w:tc>
          <w:tcPr>
            <w:tcW w:w="1134" w:type="dxa"/>
          </w:tcPr>
          <w:p w14:paraId="3EECCC03" w14:textId="3CDC1F19" w:rsidR="00561083" w:rsidRPr="005D0EA5" w:rsidRDefault="00561083" w:rsidP="00E74967">
            <w:pPr>
              <w:widowControl w:val="0"/>
              <w:autoSpaceDE w:val="0"/>
              <w:autoSpaceDN w:val="0"/>
              <w:adjustRightInd w:val="0"/>
              <w:rPr>
                <w:rFonts w:cs="Cambria"/>
                <w:sz w:val="16"/>
                <w:szCs w:val="16"/>
              </w:rPr>
            </w:pPr>
            <w:r w:rsidRPr="005D0EA5">
              <w:rPr>
                <w:rFonts w:ascii="Arial" w:hAnsi="Arial" w:cs="Arial"/>
                <w:bCs/>
                <w:sz w:val="16"/>
                <w:szCs w:val="16"/>
              </w:rPr>
              <w:t>CE-ARP (2)</w:t>
            </w:r>
          </w:p>
        </w:tc>
        <w:tc>
          <w:tcPr>
            <w:tcW w:w="1418" w:type="dxa"/>
          </w:tcPr>
          <w:p w14:paraId="1D5B67A8" w14:textId="63A1E399" w:rsidR="00561083" w:rsidRPr="005D0EA5" w:rsidRDefault="00561083" w:rsidP="00E74967">
            <w:pPr>
              <w:widowControl w:val="0"/>
              <w:autoSpaceDE w:val="0"/>
              <w:autoSpaceDN w:val="0"/>
              <w:adjustRightInd w:val="0"/>
              <w:rPr>
                <w:rFonts w:cs="Cambria"/>
                <w:sz w:val="16"/>
                <w:szCs w:val="16"/>
              </w:rPr>
            </w:pPr>
            <w:r w:rsidRPr="005D0EA5">
              <w:rPr>
                <w:rFonts w:ascii="Arial" w:hAnsi="Arial" w:cs="Arial"/>
                <w:bCs/>
                <w:sz w:val="16"/>
                <w:szCs w:val="16"/>
              </w:rPr>
              <w:t>Employment (3)</w:t>
            </w:r>
          </w:p>
        </w:tc>
        <w:tc>
          <w:tcPr>
            <w:tcW w:w="1276" w:type="dxa"/>
          </w:tcPr>
          <w:p w14:paraId="56A46655" w14:textId="54A5611D" w:rsidR="00561083" w:rsidRPr="005D0EA5" w:rsidRDefault="00561083" w:rsidP="00E74967">
            <w:pPr>
              <w:widowControl w:val="0"/>
              <w:autoSpaceDE w:val="0"/>
              <w:autoSpaceDN w:val="0"/>
              <w:adjustRightInd w:val="0"/>
              <w:rPr>
                <w:rFonts w:cs="Cambria"/>
                <w:sz w:val="16"/>
                <w:szCs w:val="16"/>
              </w:rPr>
            </w:pPr>
            <w:r w:rsidRPr="005D0EA5">
              <w:rPr>
                <w:rFonts w:ascii="Arial" w:hAnsi="Arial" w:cs="Arial"/>
                <w:bCs/>
                <w:sz w:val="16"/>
                <w:szCs w:val="16"/>
              </w:rPr>
              <w:t>New value (4)</w:t>
            </w:r>
          </w:p>
        </w:tc>
        <w:tc>
          <w:tcPr>
            <w:tcW w:w="1701" w:type="dxa"/>
          </w:tcPr>
          <w:p w14:paraId="7CC90F27" w14:textId="46B63314" w:rsidR="00561083" w:rsidRPr="005D0EA5" w:rsidRDefault="00561083" w:rsidP="00E74967">
            <w:pPr>
              <w:widowControl w:val="0"/>
              <w:autoSpaceDE w:val="0"/>
              <w:autoSpaceDN w:val="0"/>
              <w:adjustRightInd w:val="0"/>
              <w:rPr>
                <w:rFonts w:cs="Cambria"/>
                <w:sz w:val="16"/>
                <w:szCs w:val="16"/>
              </w:rPr>
            </w:pPr>
            <w:r w:rsidRPr="005D0EA5">
              <w:rPr>
                <w:rFonts w:cs="Calibri"/>
                <w:sz w:val="16"/>
                <w:szCs w:val="16"/>
              </w:rPr>
              <w:t>Exploitation rate</w:t>
            </w:r>
            <w:r w:rsidRPr="005D0EA5">
              <w:rPr>
                <w:rFonts w:cs="Calibri"/>
                <w:sz w:val="16"/>
                <w:szCs w:val="16"/>
              </w:rPr>
              <w:t xml:space="preserve"> (5</w:t>
            </w:r>
            <w:r w:rsidRPr="005D0EA5">
              <w:rPr>
                <w:rFonts w:cs="Calibri"/>
                <w:sz w:val="16"/>
                <w:szCs w:val="16"/>
              </w:rPr>
              <w:t>)</w:t>
            </w:r>
          </w:p>
        </w:tc>
        <w:tc>
          <w:tcPr>
            <w:tcW w:w="850" w:type="dxa"/>
          </w:tcPr>
          <w:p w14:paraId="4A9311E3" w14:textId="5D0D4C6A" w:rsidR="00561083" w:rsidRPr="005D0EA5" w:rsidRDefault="00561083" w:rsidP="00E74967">
            <w:pPr>
              <w:widowControl w:val="0"/>
              <w:autoSpaceDE w:val="0"/>
              <w:autoSpaceDN w:val="0"/>
              <w:adjustRightInd w:val="0"/>
              <w:rPr>
                <w:rFonts w:cs="Cambria"/>
                <w:sz w:val="16"/>
                <w:szCs w:val="16"/>
              </w:rPr>
            </w:pPr>
            <w:r w:rsidRPr="005D0EA5">
              <w:rPr>
                <w:rFonts w:cs="Calibri"/>
                <w:sz w:val="16"/>
                <w:szCs w:val="16"/>
              </w:rPr>
              <w:t>OCC</w:t>
            </w:r>
            <w:r w:rsidRPr="005D0EA5">
              <w:rPr>
                <w:rFonts w:cs="Calibri"/>
                <w:sz w:val="16"/>
                <w:szCs w:val="16"/>
              </w:rPr>
              <w:t xml:space="preserve"> (6</w:t>
            </w:r>
            <w:r w:rsidRPr="005D0EA5">
              <w:rPr>
                <w:rFonts w:cs="Calibri"/>
                <w:sz w:val="16"/>
                <w:szCs w:val="16"/>
              </w:rPr>
              <w:t>)</w:t>
            </w:r>
          </w:p>
        </w:tc>
        <w:tc>
          <w:tcPr>
            <w:tcW w:w="1276" w:type="dxa"/>
          </w:tcPr>
          <w:p w14:paraId="4EA577FB" w14:textId="5096F69E" w:rsidR="00561083" w:rsidRPr="005D0EA5" w:rsidRDefault="00561083" w:rsidP="00E74967">
            <w:pPr>
              <w:widowControl w:val="0"/>
              <w:autoSpaceDE w:val="0"/>
              <w:autoSpaceDN w:val="0"/>
              <w:adjustRightInd w:val="0"/>
              <w:rPr>
                <w:rFonts w:cs="Cambria"/>
                <w:sz w:val="16"/>
                <w:szCs w:val="16"/>
              </w:rPr>
            </w:pPr>
            <w:r w:rsidRPr="005D0EA5">
              <w:rPr>
                <w:rFonts w:cs="Calibri"/>
                <w:sz w:val="16"/>
                <w:szCs w:val="16"/>
              </w:rPr>
              <w:t>Wage share</w:t>
            </w:r>
            <w:r w:rsidRPr="005D0EA5">
              <w:rPr>
                <w:rFonts w:cs="Calibri"/>
                <w:sz w:val="16"/>
                <w:szCs w:val="16"/>
              </w:rPr>
              <w:t xml:space="preserve"> (7</w:t>
            </w:r>
            <w:r w:rsidRPr="005D0EA5">
              <w:rPr>
                <w:rFonts w:cs="Calibri"/>
                <w:sz w:val="16"/>
                <w:szCs w:val="16"/>
              </w:rPr>
              <w:t>)</w:t>
            </w:r>
          </w:p>
        </w:tc>
      </w:tr>
      <w:tr w:rsidR="00E5290B" w:rsidRPr="005D0EA5" w14:paraId="34B66085" w14:textId="77777777" w:rsidTr="00E5290B">
        <w:trPr>
          <w:trHeight w:val="225"/>
        </w:trPr>
        <w:tc>
          <w:tcPr>
            <w:tcW w:w="818" w:type="dxa"/>
          </w:tcPr>
          <w:p w14:paraId="1D074FCE" w14:textId="67DB5CE6" w:rsidR="00561083" w:rsidRPr="005D0EA5" w:rsidRDefault="00561083" w:rsidP="00E74967">
            <w:pPr>
              <w:widowControl w:val="0"/>
              <w:autoSpaceDE w:val="0"/>
              <w:autoSpaceDN w:val="0"/>
              <w:adjustRightInd w:val="0"/>
              <w:rPr>
                <w:rFonts w:cs="Cambria"/>
                <w:sz w:val="16"/>
                <w:szCs w:val="16"/>
              </w:rPr>
            </w:pPr>
            <w:r w:rsidRPr="005D0EA5">
              <w:rPr>
                <w:rFonts w:cs="Calibri"/>
                <w:sz w:val="16"/>
                <w:szCs w:val="16"/>
              </w:rPr>
              <w:t>2003</w:t>
            </w:r>
          </w:p>
        </w:tc>
        <w:tc>
          <w:tcPr>
            <w:tcW w:w="991" w:type="dxa"/>
          </w:tcPr>
          <w:p w14:paraId="3C8D4EC1" w14:textId="69487BC8" w:rsidR="00561083" w:rsidRPr="005D0EA5" w:rsidRDefault="00561083" w:rsidP="00E74967">
            <w:pPr>
              <w:widowControl w:val="0"/>
              <w:autoSpaceDE w:val="0"/>
              <w:autoSpaceDN w:val="0"/>
              <w:adjustRightInd w:val="0"/>
              <w:rPr>
                <w:rFonts w:cs="Cambria"/>
                <w:sz w:val="16"/>
                <w:szCs w:val="16"/>
              </w:rPr>
            </w:pPr>
            <w:r w:rsidRPr="005D0EA5">
              <w:rPr>
                <w:rFonts w:cs="Calibri"/>
                <w:sz w:val="16"/>
                <w:szCs w:val="16"/>
              </w:rPr>
              <w:t>4.1%</w:t>
            </w:r>
          </w:p>
        </w:tc>
        <w:tc>
          <w:tcPr>
            <w:tcW w:w="1134" w:type="dxa"/>
          </w:tcPr>
          <w:p w14:paraId="14130F71" w14:textId="5F432101" w:rsidR="00561083" w:rsidRPr="005D0EA5" w:rsidRDefault="00561083" w:rsidP="00E74967">
            <w:pPr>
              <w:widowControl w:val="0"/>
              <w:autoSpaceDE w:val="0"/>
              <w:autoSpaceDN w:val="0"/>
              <w:adjustRightInd w:val="0"/>
              <w:rPr>
                <w:rFonts w:cs="Cambria"/>
                <w:sz w:val="16"/>
                <w:szCs w:val="16"/>
              </w:rPr>
            </w:pPr>
            <w:r w:rsidRPr="005D0EA5">
              <w:rPr>
                <w:rFonts w:cs="Calibri"/>
                <w:sz w:val="16"/>
                <w:szCs w:val="16"/>
              </w:rPr>
              <w:t>7.1</w:t>
            </w:r>
            <w:proofErr w:type="gramStart"/>
            <w:r w:rsidRPr="005D0EA5">
              <w:rPr>
                <w:rFonts w:cs="Calibri"/>
                <w:sz w:val="16"/>
                <w:szCs w:val="16"/>
              </w:rPr>
              <w:t>%       </w:t>
            </w:r>
            <w:proofErr w:type="gramEnd"/>
          </w:p>
        </w:tc>
        <w:tc>
          <w:tcPr>
            <w:tcW w:w="1418" w:type="dxa"/>
          </w:tcPr>
          <w:p w14:paraId="3A4426E9" w14:textId="77777777" w:rsidR="00561083" w:rsidRPr="005D0EA5" w:rsidRDefault="00561083" w:rsidP="00E74967">
            <w:pPr>
              <w:widowControl w:val="0"/>
              <w:autoSpaceDE w:val="0"/>
              <w:autoSpaceDN w:val="0"/>
              <w:adjustRightInd w:val="0"/>
              <w:rPr>
                <w:rFonts w:cs="Cambria"/>
                <w:sz w:val="16"/>
                <w:szCs w:val="16"/>
              </w:rPr>
            </w:pPr>
          </w:p>
        </w:tc>
        <w:tc>
          <w:tcPr>
            <w:tcW w:w="1276" w:type="dxa"/>
          </w:tcPr>
          <w:p w14:paraId="63958FB6" w14:textId="77777777" w:rsidR="00561083" w:rsidRPr="005D0EA5" w:rsidRDefault="00561083" w:rsidP="00E74967">
            <w:pPr>
              <w:widowControl w:val="0"/>
              <w:autoSpaceDE w:val="0"/>
              <w:autoSpaceDN w:val="0"/>
              <w:adjustRightInd w:val="0"/>
              <w:rPr>
                <w:rFonts w:cs="Cambria"/>
                <w:sz w:val="16"/>
                <w:szCs w:val="16"/>
              </w:rPr>
            </w:pPr>
          </w:p>
        </w:tc>
        <w:tc>
          <w:tcPr>
            <w:tcW w:w="1701" w:type="dxa"/>
          </w:tcPr>
          <w:p w14:paraId="5774D2F3" w14:textId="03DA81D2" w:rsidR="00561083" w:rsidRPr="005D0EA5" w:rsidRDefault="00561083" w:rsidP="00E74967">
            <w:pPr>
              <w:widowControl w:val="0"/>
              <w:autoSpaceDE w:val="0"/>
              <w:autoSpaceDN w:val="0"/>
              <w:adjustRightInd w:val="0"/>
              <w:rPr>
                <w:rFonts w:cs="Cambria"/>
                <w:sz w:val="16"/>
                <w:szCs w:val="16"/>
              </w:rPr>
            </w:pPr>
            <w:r w:rsidRPr="005D0EA5">
              <w:rPr>
                <w:rFonts w:cs="Calibri"/>
                <w:sz w:val="16"/>
                <w:szCs w:val="16"/>
              </w:rPr>
              <w:t>13.1</w:t>
            </w:r>
            <w:proofErr w:type="gramStart"/>
            <w:r w:rsidRPr="005D0EA5">
              <w:rPr>
                <w:rFonts w:cs="Calibri"/>
                <w:sz w:val="16"/>
                <w:szCs w:val="16"/>
              </w:rPr>
              <w:t>%     </w:t>
            </w:r>
            <w:proofErr w:type="gramEnd"/>
          </w:p>
        </w:tc>
        <w:tc>
          <w:tcPr>
            <w:tcW w:w="850" w:type="dxa"/>
          </w:tcPr>
          <w:p w14:paraId="4024007E" w14:textId="67B77E56" w:rsidR="00561083" w:rsidRPr="005D0EA5" w:rsidRDefault="00561083" w:rsidP="00E74967">
            <w:pPr>
              <w:widowControl w:val="0"/>
              <w:autoSpaceDE w:val="0"/>
              <w:autoSpaceDN w:val="0"/>
              <w:adjustRightInd w:val="0"/>
              <w:rPr>
                <w:rFonts w:cs="Cambria"/>
                <w:sz w:val="16"/>
                <w:szCs w:val="16"/>
              </w:rPr>
            </w:pPr>
            <w:r w:rsidRPr="005D0EA5">
              <w:rPr>
                <w:rFonts w:cs="Calibri"/>
                <w:sz w:val="16"/>
                <w:szCs w:val="16"/>
              </w:rPr>
              <w:t>2.15</w:t>
            </w:r>
          </w:p>
        </w:tc>
        <w:tc>
          <w:tcPr>
            <w:tcW w:w="1276" w:type="dxa"/>
          </w:tcPr>
          <w:p w14:paraId="2CEC152E" w14:textId="7CF1371C" w:rsidR="00561083" w:rsidRPr="005D0EA5" w:rsidRDefault="00561083" w:rsidP="00E74967">
            <w:pPr>
              <w:widowControl w:val="0"/>
              <w:autoSpaceDE w:val="0"/>
              <w:autoSpaceDN w:val="0"/>
              <w:adjustRightInd w:val="0"/>
              <w:rPr>
                <w:rFonts w:cs="Cambria"/>
                <w:sz w:val="16"/>
                <w:szCs w:val="16"/>
              </w:rPr>
            </w:pPr>
            <w:r w:rsidRPr="005D0EA5">
              <w:rPr>
                <w:rFonts w:cs="Calibri"/>
                <w:sz w:val="16"/>
                <w:szCs w:val="16"/>
              </w:rPr>
              <w:t>30.4%</w:t>
            </w:r>
          </w:p>
        </w:tc>
      </w:tr>
      <w:tr w:rsidR="00E5290B" w:rsidRPr="005D0EA5" w14:paraId="578F4650" w14:textId="77777777" w:rsidTr="00E5290B">
        <w:tc>
          <w:tcPr>
            <w:tcW w:w="818" w:type="dxa"/>
          </w:tcPr>
          <w:p w14:paraId="53A1A947" w14:textId="6587D3F2" w:rsidR="00561083" w:rsidRPr="005D0EA5" w:rsidRDefault="00561083" w:rsidP="00E74967">
            <w:pPr>
              <w:widowControl w:val="0"/>
              <w:autoSpaceDE w:val="0"/>
              <w:autoSpaceDN w:val="0"/>
              <w:adjustRightInd w:val="0"/>
              <w:rPr>
                <w:rFonts w:cs="Cambria"/>
                <w:sz w:val="16"/>
                <w:szCs w:val="16"/>
              </w:rPr>
            </w:pPr>
            <w:r w:rsidRPr="005D0EA5">
              <w:rPr>
                <w:rFonts w:cs="Calibri"/>
                <w:sz w:val="16"/>
                <w:szCs w:val="16"/>
              </w:rPr>
              <w:t>2004       </w:t>
            </w:r>
          </w:p>
        </w:tc>
        <w:tc>
          <w:tcPr>
            <w:tcW w:w="991" w:type="dxa"/>
          </w:tcPr>
          <w:p w14:paraId="7BE7F643" w14:textId="1CC19341" w:rsidR="00561083" w:rsidRPr="005D0EA5" w:rsidRDefault="00561083" w:rsidP="00E74967">
            <w:pPr>
              <w:widowControl w:val="0"/>
              <w:autoSpaceDE w:val="0"/>
              <w:autoSpaceDN w:val="0"/>
              <w:adjustRightInd w:val="0"/>
              <w:rPr>
                <w:rFonts w:cs="Cambria"/>
                <w:sz w:val="16"/>
                <w:szCs w:val="16"/>
              </w:rPr>
            </w:pPr>
            <w:r w:rsidRPr="005D0EA5">
              <w:rPr>
                <w:rFonts w:cs="Calibri"/>
                <w:sz w:val="16"/>
                <w:szCs w:val="16"/>
              </w:rPr>
              <w:t>7.8%</w:t>
            </w:r>
          </w:p>
        </w:tc>
        <w:tc>
          <w:tcPr>
            <w:tcW w:w="1134" w:type="dxa"/>
          </w:tcPr>
          <w:p w14:paraId="0CDF50A5" w14:textId="2D561448" w:rsidR="00561083" w:rsidRPr="005D0EA5" w:rsidRDefault="00561083" w:rsidP="00E74967">
            <w:pPr>
              <w:widowControl w:val="0"/>
              <w:autoSpaceDE w:val="0"/>
              <w:autoSpaceDN w:val="0"/>
              <w:adjustRightInd w:val="0"/>
              <w:rPr>
                <w:rFonts w:cs="Cambria"/>
                <w:sz w:val="16"/>
                <w:szCs w:val="16"/>
              </w:rPr>
            </w:pPr>
            <w:r w:rsidRPr="005D0EA5">
              <w:rPr>
                <w:rFonts w:cs="Calibri"/>
                <w:sz w:val="16"/>
                <w:szCs w:val="16"/>
              </w:rPr>
              <w:t>7.2%</w:t>
            </w:r>
          </w:p>
        </w:tc>
        <w:tc>
          <w:tcPr>
            <w:tcW w:w="1418" w:type="dxa"/>
          </w:tcPr>
          <w:p w14:paraId="6E25776C" w14:textId="77777777" w:rsidR="00561083" w:rsidRPr="005D0EA5" w:rsidRDefault="00561083" w:rsidP="00E74967">
            <w:pPr>
              <w:widowControl w:val="0"/>
              <w:autoSpaceDE w:val="0"/>
              <w:autoSpaceDN w:val="0"/>
              <w:adjustRightInd w:val="0"/>
              <w:rPr>
                <w:rFonts w:cs="Cambria"/>
                <w:sz w:val="16"/>
                <w:szCs w:val="16"/>
              </w:rPr>
            </w:pPr>
          </w:p>
        </w:tc>
        <w:tc>
          <w:tcPr>
            <w:tcW w:w="1276" w:type="dxa"/>
          </w:tcPr>
          <w:p w14:paraId="2E634DE4" w14:textId="77777777" w:rsidR="00561083" w:rsidRPr="005D0EA5" w:rsidRDefault="00561083" w:rsidP="00E74967">
            <w:pPr>
              <w:widowControl w:val="0"/>
              <w:autoSpaceDE w:val="0"/>
              <w:autoSpaceDN w:val="0"/>
              <w:adjustRightInd w:val="0"/>
              <w:rPr>
                <w:rFonts w:cs="Cambria"/>
                <w:sz w:val="16"/>
                <w:szCs w:val="16"/>
              </w:rPr>
            </w:pPr>
          </w:p>
        </w:tc>
        <w:tc>
          <w:tcPr>
            <w:tcW w:w="1701" w:type="dxa"/>
          </w:tcPr>
          <w:p w14:paraId="63398D6C" w14:textId="70B30E88" w:rsidR="00561083" w:rsidRPr="005D0EA5" w:rsidRDefault="00561083" w:rsidP="00E74967">
            <w:pPr>
              <w:widowControl w:val="0"/>
              <w:autoSpaceDE w:val="0"/>
              <w:autoSpaceDN w:val="0"/>
              <w:adjustRightInd w:val="0"/>
              <w:rPr>
                <w:rFonts w:cs="Cambria"/>
                <w:sz w:val="16"/>
                <w:szCs w:val="16"/>
              </w:rPr>
            </w:pPr>
            <w:r w:rsidRPr="005D0EA5">
              <w:rPr>
                <w:rFonts w:cs="Calibri"/>
                <w:sz w:val="16"/>
                <w:szCs w:val="16"/>
              </w:rPr>
              <w:t>24.4%</w:t>
            </w:r>
          </w:p>
        </w:tc>
        <w:tc>
          <w:tcPr>
            <w:tcW w:w="850" w:type="dxa"/>
          </w:tcPr>
          <w:p w14:paraId="1927A4F0" w14:textId="0576A567" w:rsidR="00561083" w:rsidRPr="005D0EA5" w:rsidRDefault="00561083" w:rsidP="00E74967">
            <w:pPr>
              <w:widowControl w:val="0"/>
              <w:autoSpaceDE w:val="0"/>
              <w:autoSpaceDN w:val="0"/>
              <w:adjustRightInd w:val="0"/>
              <w:rPr>
                <w:rFonts w:cs="Cambria"/>
                <w:sz w:val="16"/>
                <w:szCs w:val="16"/>
              </w:rPr>
            </w:pPr>
            <w:r w:rsidRPr="005D0EA5">
              <w:rPr>
                <w:rFonts w:cs="Calibri"/>
                <w:sz w:val="16"/>
                <w:szCs w:val="16"/>
              </w:rPr>
              <w:t>2.12</w:t>
            </w:r>
          </w:p>
        </w:tc>
        <w:tc>
          <w:tcPr>
            <w:tcW w:w="1276" w:type="dxa"/>
          </w:tcPr>
          <w:p w14:paraId="18461997" w14:textId="4CDC37DD" w:rsidR="00561083" w:rsidRPr="005D0EA5" w:rsidRDefault="00561083" w:rsidP="00E74967">
            <w:pPr>
              <w:widowControl w:val="0"/>
              <w:autoSpaceDE w:val="0"/>
              <w:autoSpaceDN w:val="0"/>
              <w:adjustRightInd w:val="0"/>
              <w:rPr>
                <w:rFonts w:cs="Cambria"/>
                <w:sz w:val="16"/>
                <w:szCs w:val="16"/>
              </w:rPr>
            </w:pPr>
            <w:r w:rsidRPr="005D0EA5">
              <w:rPr>
                <w:rFonts w:cs="Calibri"/>
                <w:sz w:val="16"/>
                <w:szCs w:val="16"/>
              </w:rPr>
              <w:t>29.6%</w:t>
            </w:r>
          </w:p>
        </w:tc>
      </w:tr>
      <w:tr w:rsidR="00E5290B" w:rsidRPr="005D0EA5" w14:paraId="189DF1AD" w14:textId="77777777" w:rsidTr="00E5290B">
        <w:tc>
          <w:tcPr>
            <w:tcW w:w="818" w:type="dxa"/>
          </w:tcPr>
          <w:p w14:paraId="2E895CF4" w14:textId="26DAD670" w:rsidR="00561083" w:rsidRPr="005D0EA5" w:rsidRDefault="00561083" w:rsidP="00E74967">
            <w:pPr>
              <w:widowControl w:val="0"/>
              <w:autoSpaceDE w:val="0"/>
              <w:autoSpaceDN w:val="0"/>
              <w:adjustRightInd w:val="0"/>
              <w:rPr>
                <w:rFonts w:cs="Cambria"/>
                <w:sz w:val="16"/>
                <w:szCs w:val="16"/>
              </w:rPr>
            </w:pPr>
            <w:r w:rsidRPr="005D0EA5">
              <w:rPr>
                <w:rFonts w:cs="Calibri"/>
                <w:sz w:val="16"/>
                <w:szCs w:val="16"/>
              </w:rPr>
              <w:t>2005       </w:t>
            </w:r>
          </w:p>
        </w:tc>
        <w:tc>
          <w:tcPr>
            <w:tcW w:w="991" w:type="dxa"/>
          </w:tcPr>
          <w:p w14:paraId="66BFDA13" w14:textId="493AF828" w:rsidR="00561083" w:rsidRPr="005D0EA5" w:rsidRDefault="00561083" w:rsidP="00E74967">
            <w:pPr>
              <w:widowControl w:val="0"/>
              <w:autoSpaceDE w:val="0"/>
              <w:autoSpaceDN w:val="0"/>
              <w:adjustRightInd w:val="0"/>
              <w:rPr>
                <w:rFonts w:cs="Cambria"/>
                <w:sz w:val="16"/>
                <w:szCs w:val="16"/>
              </w:rPr>
            </w:pPr>
            <w:r w:rsidRPr="005D0EA5">
              <w:rPr>
                <w:rFonts w:cs="Calibri"/>
                <w:sz w:val="16"/>
                <w:szCs w:val="16"/>
              </w:rPr>
              <w:t>11.4%</w:t>
            </w:r>
          </w:p>
        </w:tc>
        <w:tc>
          <w:tcPr>
            <w:tcW w:w="1134" w:type="dxa"/>
          </w:tcPr>
          <w:p w14:paraId="691DF825" w14:textId="5A54DDBB" w:rsidR="00561083" w:rsidRPr="005D0EA5" w:rsidRDefault="00561083" w:rsidP="00E74967">
            <w:pPr>
              <w:widowControl w:val="0"/>
              <w:autoSpaceDE w:val="0"/>
              <w:autoSpaceDN w:val="0"/>
              <w:adjustRightInd w:val="0"/>
              <w:rPr>
                <w:rFonts w:cs="Cambria"/>
                <w:sz w:val="16"/>
                <w:szCs w:val="16"/>
              </w:rPr>
            </w:pPr>
            <w:r w:rsidRPr="005D0EA5">
              <w:rPr>
                <w:rFonts w:cs="Calibri"/>
                <w:sz w:val="16"/>
                <w:szCs w:val="16"/>
              </w:rPr>
              <w:t>7.3%</w:t>
            </w:r>
          </w:p>
        </w:tc>
        <w:tc>
          <w:tcPr>
            <w:tcW w:w="1418" w:type="dxa"/>
          </w:tcPr>
          <w:p w14:paraId="3DC59D33" w14:textId="60D9F7A9" w:rsidR="00561083" w:rsidRPr="005D0EA5" w:rsidRDefault="00561083" w:rsidP="00E74967">
            <w:pPr>
              <w:widowControl w:val="0"/>
              <w:autoSpaceDE w:val="0"/>
              <w:autoSpaceDN w:val="0"/>
              <w:adjustRightInd w:val="0"/>
              <w:rPr>
                <w:rFonts w:cs="Cambria"/>
                <w:sz w:val="16"/>
                <w:szCs w:val="16"/>
              </w:rPr>
            </w:pPr>
            <w:r w:rsidRPr="005D0EA5">
              <w:rPr>
                <w:rFonts w:cs="Calibri"/>
                <w:sz w:val="16"/>
                <w:szCs w:val="16"/>
              </w:rPr>
              <w:t>1.6%</w:t>
            </w:r>
          </w:p>
        </w:tc>
        <w:tc>
          <w:tcPr>
            <w:tcW w:w="1276" w:type="dxa"/>
          </w:tcPr>
          <w:p w14:paraId="612C8DBC" w14:textId="320D92B7" w:rsidR="00561083" w:rsidRPr="005D0EA5" w:rsidRDefault="00561083" w:rsidP="00E74967">
            <w:pPr>
              <w:widowControl w:val="0"/>
              <w:autoSpaceDE w:val="0"/>
              <w:autoSpaceDN w:val="0"/>
              <w:adjustRightInd w:val="0"/>
              <w:rPr>
                <w:rFonts w:cs="Cambria"/>
                <w:sz w:val="16"/>
                <w:szCs w:val="16"/>
              </w:rPr>
            </w:pPr>
            <w:r w:rsidRPr="005D0EA5">
              <w:rPr>
                <w:rFonts w:cs="Calibri"/>
                <w:sz w:val="16"/>
                <w:szCs w:val="16"/>
              </w:rPr>
              <w:t>11.6%</w:t>
            </w:r>
          </w:p>
        </w:tc>
        <w:tc>
          <w:tcPr>
            <w:tcW w:w="1701" w:type="dxa"/>
          </w:tcPr>
          <w:p w14:paraId="6025D770" w14:textId="20416EEB" w:rsidR="00561083" w:rsidRPr="005D0EA5" w:rsidRDefault="00561083" w:rsidP="00E74967">
            <w:pPr>
              <w:widowControl w:val="0"/>
              <w:autoSpaceDE w:val="0"/>
              <w:autoSpaceDN w:val="0"/>
              <w:adjustRightInd w:val="0"/>
              <w:rPr>
                <w:rFonts w:cs="Cambria"/>
                <w:sz w:val="16"/>
                <w:szCs w:val="16"/>
              </w:rPr>
            </w:pPr>
            <w:r w:rsidRPr="005D0EA5">
              <w:rPr>
                <w:rFonts w:cs="Calibri"/>
                <w:sz w:val="16"/>
                <w:szCs w:val="16"/>
              </w:rPr>
              <w:t>35.5%</w:t>
            </w:r>
          </w:p>
        </w:tc>
        <w:tc>
          <w:tcPr>
            <w:tcW w:w="850" w:type="dxa"/>
          </w:tcPr>
          <w:p w14:paraId="16CABFD8" w14:textId="33B41312" w:rsidR="00561083" w:rsidRPr="005D0EA5" w:rsidRDefault="00561083" w:rsidP="00E74967">
            <w:pPr>
              <w:widowControl w:val="0"/>
              <w:autoSpaceDE w:val="0"/>
              <w:autoSpaceDN w:val="0"/>
              <w:adjustRightInd w:val="0"/>
              <w:rPr>
                <w:rFonts w:cs="Cambria"/>
                <w:sz w:val="16"/>
                <w:szCs w:val="16"/>
              </w:rPr>
            </w:pPr>
            <w:r w:rsidRPr="005D0EA5">
              <w:rPr>
                <w:rFonts w:cs="Calibri"/>
                <w:sz w:val="16"/>
                <w:szCs w:val="16"/>
              </w:rPr>
              <w:t>2.10</w:t>
            </w:r>
          </w:p>
        </w:tc>
        <w:tc>
          <w:tcPr>
            <w:tcW w:w="1276" w:type="dxa"/>
          </w:tcPr>
          <w:p w14:paraId="2F948922" w14:textId="3757FB84" w:rsidR="00561083" w:rsidRPr="005D0EA5" w:rsidRDefault="00561083" w:rsidP="00E74967">
            <w:pPr>
              <w:widowControl w:val="0"/>
              <w:autoSpaceDE w:val="0"/>
              <w:autoSpaceDN w:val="0"/>
              <w:adjustRightInd w:val="0"/>
              <w:rPr>
                <w:rFonts w:cs="Cambria"/>
                <w:sz w:val="16"/>
                <w:szCs w:val="16"/>
              </w:rPr>
            </w:pPr>
            <w:r w:rsidRPr="005D0EA5">
              <w:rPr>
                <w:rFonts w:cs="Calibri"/>
                <w:sz w:val="16"/>
                <w:szCs w:val="16"/>
              </w:rPr>
              <w:t>28.9%</w:t>
            </w:r>
          </w:p>
        </w:tc>
      </w:tr>
      <w:tr w:rsidR="00E5290B" w:rsidRPr="005D0EA5" w14:paraId="4B1E4232" w14:textId="77777777" w:rsidTr="00E5290B">
        <w:tc>
          <w:tcPr>
            <w:tcW w:w="818" w:type="dxa"/>
          </w:tcPr>
          <w:p w14:paraId="7E4D26E0" w14:textId="34615344" w:rsidR="00561083" w:rsidRPr="005D0EA5" w:rsidRDefault="00561083" w:rsidP="00E74967">
            <w:pPr>
              <w:widowControl w:val="0"/>
              <w:autoSpaceDE w:val="0"/>
              <w:autoSpaceDN w:val="0"/>
              <w:adjustRightInd w:val="0"/>
              <w:rPr>
                <w:rFonts w:cs="Cambria"/>
                <w:sz w:val="16"/>
                <w:szCs w:val="16"/>
              </w:rPr>
            </w:pPr>
            <w:r w:rsidRPr="005D0EA5">
              <w:rPr>
                <w:rFonts w:cs="Calibri"/>
                <w:sz w:val="16"/>
                <w:szCs w:val="16"/>
              </w:rPr>
              <w:t>2006       </w:t>
            </w:r>
          </w:p>
        </w:tc>
        <w:tc>
          <w:tcPr>
            <w:tcW w:w="991" w:type="dxa"/>
          </w:tcPr>
          <w:p w14:paraId="70D965F2" w14:textId="764F04AC" w:rsidR="00561083" w:rsidRPr="005D0EA5" w:rsidRDefault="00561083" w:rsidP="00E74967">
            <w:pPr>
              <w:widowControl w:val="0"/>
              <w:autoSpaceDE w:val="0"/>
              <w:autoSpaceDN w:val="0"/>
              <w:adjustRightInd w:val="0"/>
              <w:rPr>
                <w:rFonts w:cs="Cambria"/>
                <w:sz w:val="16"/>
                <w:szCs w:val="16"/>
              </w:rPr>
            </w:pPr>
            <w:r w:rsidRPr="005D0EA5">
              <w:rPr>
                <w:rFonts w:cs="Calibri"/>
                <w:sz w:val="16"/>
                <w:szCs w:val="16"/>
              </w:rPr>
              <w:t>13.1%</w:t>
            </w:r>
          </w:p>
        </w:tc>
        <w:tc>
          <w:tcPr>
            <w:tcW w:w="1134" w:type="dxa"/>
          </w:tcPr>
          <w:p w14:paraId="5F28D771" w14:textId="04CB2508" w:rsidR="00561083" w:rsidRPr="005D0EA5" w:rsidRDefault="00561083" w:rsidP="00E74967">
            <w:pPr>
              <w:widowControl w:val="0"/>
              <w:autoSpaceDE w:val="0"/>
              <w:autoSpaceDN w:val="0"/>
              <w:adjustRightInd w:val="0"/>
              <w:rPr>
                <w:rFonts w:cs="Cambria"/>
                <w:sz w:val="16"/>
                <w:szCs w:val="16"/>
              </w:rPr>
            </w:pPr>
            <w:r w:rsidRPr="005D0EA5">
              <w:rPr>
                <w:rFonts w:cs="Calibri"/>
                <w:sz w:val="16"/>
                <w:szCs w:val="16"/>
              </w:rPr>
              <w:t>7.5%</w:t>
            </w:r>
          </w:p>
        </w:tc>
        <w:tc>
          <w:tcPr>
            <w:tcW w:w="1418" w:type="dxa"/>
          </w:tcPr>
          <w:p w14:paraId="3CDE04DC" w14:textId="24FEE5EA" w:rsidR="00561083" w:rsidRPr="005D0EA5" w:rsidRDefault="00561083" w:rsidP="00E74967">
            <w:pPr>
              <w:widowControl w:val="0"/>
              <w:autoSpaceDE w:val="0"/>
              <w:autoSpaceDN w:val="0"/>
              <w:adjustRightInd w:val="0"/>
              <w:rPr>
                <w:rFonts w:cs="Cambria"/>
                <w:sz w:val="16"/>
                <w:szCs w:val="16"/>
              </w:rPr>
            </w:pPr>
            <w:r w:rsidRPr="005D0EA5">
              <w:rPr>
                <w:rFonts w:cs="Calibri"/>
                <w:sz w:val="16"/>
                <w:szCs w:val="16"/>
              </w:rPr>
              <w:t>0.1%</w:t>
            </w:r>
          </w:p>
        </w:tc>
        <w:tc>
          <w:tcPr>
            <w:tcW w:w="1276" w:type="dxa"/>
          </w:tcPr>
          <w:p w14:paraId="2C6D3A99" w14:textId="4DC24741" w:rsidR="00561083" w:rsidRPr="005D0EA5" w:rsidRDefault="00561083" w:rsidP="00E74967">
            <w:pPr>
              <w:widowControl w:val="0"/>
              <w:autoSpaceDE w:val="0"/>
              <w:autoSpaceDN w:val="0"/>
              <w:adjustRightInd w:val="0"/>
              <w:rPr>
                <w:rFonts w:cs="Cambria"/>
                <w:sz w:val="16"/>
                <w:szCs w:val="16"/>
              </w:rPr>
            </w:pPr>
            <w:r w:rsidRPr="005D0EA5">
              <w:rPr>
                <w:rFonts w:cs="Calibri"/>
                <w:sz w:val="16"/>
                <w:szCs w:val="16"/>
              </w:rPr>
              <w:t>8.6%</w:t>
            </w:r>
          </w:p>
        </w:tc>
        <w:tc>
          <w:tcPr>
            <w:tcW w:w="1701" w:type="dxa"/>
          </w:tcPr>
          <w:p w14:paraId="343EB4BD" w14:textId="0948FC6D" w:rsidR="00561083" w:rsidRPr="005D0EA5" w:rsidRDefault="00561083" w:rsidP="00E74967">
            <w:pPr>
              <w:widowControl w:val="0"/>
              <w:autoSpaceDE w:val="0"/>
              <w:autoSpaceDN w:val="0"/>
              <w:adjustRightInd w:val="0"/>
              <w:rPr>
                <w:rFonts w:cs="Cambria"/>
                <w:sz w:val="16"/>
                <w:szCs w:val="16"/>
              </w:rPr>
            </w:pPr>
            <w:r w:rsidRPr="005D0EA5">
              <w:rPr>
                <w:rFonts w:cs="Calibri"/>
                <w:sz w:val="16"/>
                <w:szCs w:val="16"/>
              </w:rPr>
              <w:t>40.2%</w:t>
            </w:r>
          </w:p>
        </w:tc>
        <w:tc>
          <w:tcPr>
            <w:tcW w:w="850" w:type="dxa"/>
          </w:tcPr>
          <w:p w14:paraId="4276E07F" w14:textId="1E4C6B4A" w:rsidR="00561083" w:rsidRPr="005D0EA5" w:rsidRDefault="00561083" w:rsidP="00E74967">
            <w:pPr>
              <w:widowControl w:val="0"/>
              <w:autoSpaceDE w:val="0"/>
              <w:autoSpaceDN w:val="0"/>
              <w:adjustRightInd w:val="0"/>
              <w:rPr>
                <w:rFonts w:cs="Cambria"/>
                <w:sz w:val="16"/>
                <w:szCs w:val="16"/>
              </w:rPr>
            </w:pPr>
            <w:r w:rsidRPr="005D0EA5">
              <w:rPr>
                <w:rFonts w:cs="Calibri"/>
                <w:sz w:val="16"/>
                <w:szCs w:val="16"/>
              </w:rPr>
              <w:t>2.07</w:t>
            </w:r>
          </w:p>
        </w:tc>
        <w:tc>
          <w:tcPr>
            <w:tcW w:w="1276" w:type="dxa"/>
          </w:tcPr>
          <w:p w14:paraId="54DF74C4" w14:textId="4558D5D0" w:rsidR="00561083" w:rsidRPr="005D0EA5" w:rsidRDefault="00561083" w:rsidP="00E74967">
            <w:pPr>
              <w:widowControl w:val="0"/>
              <w:autoSpaceDE w:val="0"/>
              <w:autoSpaceDN w:val="0"/>
              <w:adjustRightInd w:val="0"/>
              <w:rPr>
                <w:rFonts w:cs="Cambria"/>
                <w:sz w:val="16"/>
                <w:szCs w:val="16"/>
              </w:rPr>
            </w:pPr>
            <w:r w:rsidRPr="005D0EA5">
              <w:rPr>
                <w:rFonts w:cs="Calibri"/>
                <w:sz w:val="16"/>
                <w:szCs w:val="16"/>
              </w:rPr>
              <w:t>28.8%</w:t>
            </w:r>
          </w:p>
        </w:tc>
      </w:tr>
    </w:tbl>
    <w:p w14:paraId="7DC4E788" w14:textId="77777777" w:rsidR="00561083" w:rsidRPr="003A7F8A" w:rsidRDefault="00561083" w:rsidP="00E74967">
      <w:pPr>
        <w:widowControl w:val="0"/>
        <w:autoSpaceDE w:val="0"/>
        <w:autoSpaceDN w:val="0"/>
        <w:adjustRightInd w:val="0"/>
        <w:rPr>
          <w:rFonts w:ascii="Cambria" w:hAnsi="Cambria" w:cs="Cambria"/>
          <w:sz w:val="22"/>
          <w:szCs w:val="22"/>
        </w:rPr>
      </w:pPr>
    </w:p>
    <w:p w14:paraId="2CBAB048" w14:textId="11720657" w:rsidR="004718C3" w:rsidRPr="00F27CBF" w:rsidRDefault="00155FC9" w:rsidP="0076514A">
      <w:pPr>
        <w:autoSpaceDE w:val="0"/>
        <w:autoSpaceDN w:val="0"/>
        <w:adjustRightInd w:val="0"/>
        <w:rPr>
          <w:rFonts w:cs="MBembo"/>
          <w:sz w:val="22"/>
          <w:szCs w:val="22"/>
        </w:rPr>
      </w:pPr>
      <w:r w:rsidRPr="00155FC9">
        <w:rPr>
          <w:rFonts w:ascii="Arial" w:hAnsi="Arial" w:cs="Arial"/>
          <w:bCs/>
          <w:sz w:val="20"/>
          <w:szCs w:val="20"/>
        </w:rPr>
        <w:t xml:space="preserve">If </w:t>
      </w:r>
      <w:r w:rsidR="00432E19">
        <w:rPr>
          <w:rFonts w:ascii="Cambria" w:hAnsi="Cambria" w:cs="Cambria"/>
          <w:sz w:val="22"/>
          <w:szCs w:val="22"/>
        </w:rPr>
        <w:t>a crisis need not be precede</w:t>
      </w:r>
      <w:r>
        <w:rPr>
          <w:rFonts w:ascii="Cambria" w:hAnsi="Cambria" w:cs="Cambria"/>
          <w:sz w:val="22"/>
          <w:szCs w:val="22"/>
        </w:rPr>
        <w:t>d by falling profitability</w:t>
      </w:r>
      <w:r w:rsidR="00432E19">
        <w:rPr>
          <w:rFonts w:ascii="Cambria" w:hAnsi="Cambria" w:cs="Cambria"/>
          <w:sz w:val="22"/>
          <w:szCs w:val="22"/>
        </w:rPr>
        <w:t xml:space="preserve">, </w:t>
      </w:r>
      <w:r w:rsidR="00E52FEB">
        <w:rPr>
          <w:rFonts w:ascii="Cambria" w:hAnsi="Cambria" w:cs="Cambria"/>
          <w:sz w:val="22"/>
          <w:szCs w:val="22"/>
        </w:rPr>
        <w:t>two</w:t>
      </w:r>
      <w:r w:rsidR="00432E19">
        <w:rPr>
          <w:rFonts w:ascii="Cambria" w:hAnsi="Cambria" w:cs="Cambria"/>
          <w:sz w:val="22"/>
          <w:szCs w:val="22"/>
        </w:rPr>
        <w:t xml:space="preserve"> questions arise. </w:t>
      </w:r>
      <w:r w:rsidR="00E52FEB">
        <w:rPr>
          <w:rFonts w:ascii="Cambria" w:hAnsi="Cambria" w:cs="Cambria"/>
          <w:sz w:val="22"/>
          <w:szCs w:val="22"/>
        </w:rPr>
        <w:t>First</w:t>
      </w:r>
      <w:r w:rsidR="00F370B9" w:rsidRPr="00F27CBF">
        <w:rPr>
          <w:rFonts w:ascii="Cambria" w:hAnsi="Cambria" w:cs="Cambria"/>
          <w:sz w:val="22"/>
          <w:szCs w:val="22"/>
        </w:rPr>
        <w:t xml:space="preserve">, </w:t>
      </w:r>
      <w:r w:rsidR="00432E19" w:rsidRPr="00F27CBF">
        <w:rPr>
          <w:rFonts w:ascii="Cambria" w:hAnsi="Cambria" w:cs="Cambria"/>
          <w:sz w:val="22"/>
          <w:szCs w:val="22"/>
        </w:rPr>
        <w:t xml:space="preserve">if </w:t>
      </w:r>
      <w:r w:rsidR="008A6D58" w:rsidRPr="00F27CBF">
        <w:rPr>
          <w:rFonts w:ascii="Cambria" w:hAnsi="Cambria" w:cs="Cambria"/>
          <w:sz w:val="22"/>
          <w:szCs w:val="22"/>
        </w:rPr>
        <w:t>falling profitability is not</w:t>
      </w:r>
      <w:r w:rsidR="0076514A" w:rsidRPr="00F27CBF">
        <w:rPr>
          <w:rFonts w:ascii="Cambria" w:hAnsi="Cambria" w:cs="Cambria"/>
          <w:sz w:val="22"/>
          <w:szCs w:val="22"/>
        </w:rPr>
        <w:t xml:space="preserve"> </w:t>
      </w:r>
      <w:r w:rsidR="00432E19" w:rsidRPr="00F27CBF">
        <w:rPr>
          <w:rFonts w:ascii="Cambria" w:hAnsi="Cambria" w:cs="Cambria"/>
          <w:sz w:val="22"/>
          <w:szCs w:val="22"/>
        </w:rPr>
        <w:t xml:space="preserve">necessarily a </w:t>
      </w:r>
      <w:r w:rsidR="0076514A" w:rsidRPr="00F27CBF">
        <w:rPr>
          <w:rFonts w:ascii="Cambria" w:hAnsi="Cambria" w:cs="Cambria"/>
          <w:sz w:val="22"/>
          <w:szCs w:val="22"/>
        </w:rPr>
        <w:t xml:space="preserve">sign of an imminent crisis, </w:t>
      </w:r>
      <w:r w:rsidR="0076514A" w:rsidRPr="00F27CBF">
        <w:rPr>
          <w:rFonts w:cs="MBembo"/>
          <w:sz w:val="22"/>
          <w:szCs w:val="22"/>
        </w:rPr>
        <w:t xml:space="preserve">which is the </w:t>
      </w:r>
      <w:r w:rsidR="00903AE9" w:rsidRPr="00F27CBF">
        <w:rPr>
          <w:rFonts w:cs="MBembo"/>
          <w:sz w:val="22"/>
          <w:szCs w:val="22"/>
        </w:rPr>
        <w:t xml:space="preserve">indicator </w:t>
      </w:r>
      <w:r w:rsidR="0076514A" w:rsidRPr="00F27CBF">
        <w:rPr>
          <w:rFonts w:cs="MBembo"/>
          <w:sz w:val="22"/>
          <w:szCs w:val="22"/>
        </w:rPr>
        <w:t>of an upcoming crisis</w:t>
      </w:r>
      <w:r w:rsidR="0076514A" w:rsidRPr="00F27CBF">
        <w:rPr>
          <w:rFonts w:ascii="Cambria" w:hAnsi="Cambria" w:cs="Cambria"/>
          <w:sz w:val="22"/>
          <w:szCs w:val="22"/>
        </w:rPr>
        <w:t xml:space="preserve">? </w:t>
      </w:r>
      <w:r w:rsidR="00432E19" w:rsidRPr="00F27CBF">
        <w:rPr>
          <w:rFonts w:ascii="Cambria" w:hAnsi="Cambria" w:cs="Cambria"/>
          <w:sz w:val="22"/>
          <w:szCs w:val="22"/>
        </w:rPr>
        <w:t xml:space="preserve">From the standpoint </w:t>
      </w:r>
      <w:r w:rsidR="003A0A9E" w:rsidRPr="00F27CBF">
        <w:rPr>
          <w:rFonts w:ascii="Cambria" w:hAnsi="Cambria" w:cs="Cambria"/>
          <w:sz w:val="22"/>
          <w:szCs w:val="22"/>
        </w:rPr>
        <w:t>of</w:t>
      </w:r>
      <w:r w:rsidR="00432E19" w:rsidRPr="00F27CBF">
        <w:rPr>
          <w:rFonts w:ascii="Cambria" w:hAnsi="Cambria" w:cs="Cambria"/>
          <w:sz w:val="22"/>
          <w:szCs w:val="22"/>
        </w:rPr>
        <w:t xml:space="preserve"> the labour theory of value it can only be </w:t>
      </w:r>
      <w:r w:rsidR="0076514A" w:rsidRPr="00F27CBF">
        <w:rPr>
          <w:rFonts w:ascii="Cambria" w:hAnsi="Cambria" w:cs="Cambria"/>
          <w:sz w:val="22"/>
          <w:szCs w:val="22"/>
        </w:rPr>
        <w:t xml:space="preserve">falling </w:t>
      </w:r>
      <w:r w:rsidR="0076514A" w:rsidRPr="00F27CBF">
        <w:rPr>
          <w:rFonts w:ascii="Cambria" w:hAnsi="Cambria" w:cs="Cambria"/>
          <w:sz w:val="22"/>
          <w:szCs w:val="22"/>
        </w:rPr>
        <w:lastRenderedPageBreak/>
        <w:t>employment</w:t>
      </w:r>
      <w:r w:rsidR="00234710" w:rsidRPr="00F27CBF">
        <w:rPr>
          <w:rFonts w:ascii="Cambria" w:hAnsi="Cambria" w:cs="Cambria"/>
          <w:sz w:val="22"/>
          <w:szCs w:val="22"/>
        </w:rPr>
        <w:t xml:space="preserve"> and usually falling new value</w:t>
      </w:r>
      <w:r w:rsidR="0076514A" w:rsidRPr="00F27CBF">
        <w:rPr>
          <w:rFonts w:ascii="Cambria" w:hAnsi="Cambria" w:cs="Cambria"/>
          <w:sz w:val="22"/>
          <w:szCs w:val="22"/>
        </w:rPr>
        <w:t xml:space="preserve">. </w:t>
      </w:r>
      <w:r w:rsidR="003A0A9E" w:rsidRPr="00F27CBF">
        <w:rPr>
          <w:rFonts w:cs="MBembo"/>
          <w:sz w:val="22"/>
          <w:szCs w:val="22"/>
        </w:rPr>
        <w:t>In fact, both t</w:t>
      </w:r>
      <w:r w:rsidR="004B4F5C" w:rsidRPr="00F27CBF">
        <w:rPr>
          <w:rFonts w:cs="MBembo"/>
          <w:sz w:val="22"/>
          <w:szCs w:val="22"/>
        </w:rPr>
        <w:t xml:space="preserve">he rate of growth of employment </w:t>
      </w:r>
      <w:r w:rsidR="003A0A9E" w:rsidRPr="00F27CBF">
        <w:rPr>
          <w:rFonts w:cs="MBembo"/>
          <w:sz w:val="22"/>
          <w:szCs w:val="22"/>
        </w:rPr>
        <w:t xml:space="preserve">(column 3) and </w:t>
      </w:r>
      <w:proofErr w:type="gramStart"/>
      <w:r w:rsidR="003A0A9E" w:rsidRPr="00F27CBF">
        <w:rPr>
          <w:rFonts w:cs="MBembo"/>
          <w:sz w:val="22"/>
          <w:szCs w:val="22"/>
        </w:rPr>
        <w:t>of</w:t>
      </w:r>
      <w:proofErr w:type="gramEnd"/>
      <w:r w:rsidR="003A0A9E" w:rsidRPr="00F27CBF">
        <w:rPr>
          <w:rFonts w:cs="MBembo"/>
          <w:sz w:val="22"/>
          <w:szCs w:val="22"/>
        </w:rPr>
        <w:t xml:space="preserve"> new value (column 4) </w:t>
      </w:r>
      <w:r w:rsidR="00E52FEB">
        <w:rPr>
          <w:rFonts w:cs="MBembo"/>
          <w:sz w:val="22"/>
          <w:szCs w:val="22"/>
        </w:rPr>
        <w:t xml:space="preserve">in table 1 </w:t>
      </w:r>
      <w:r w:rsidR="003A0A9E" w:rsidRPr="00F27CBF">
        <w:rPr>
          <w:rFonts w:cs="MBembo"/>
          <w:sz w:val="22"/>
          <w:szCs w:val="22"/>
        </w:rPr>
        <w:t>start</w:t>
      </w:r>
      <w:r>
        <w:rPr>
          <w:rFonts w:cs="MBembo"/>
          <w:sz w:val="22"/>
          <w:szCs w:val="22"/>
        </w:rPr>
        <w:t xml:space="preserve"> falling in 2005.</w:t>
      </w:r>
    </w:p>
    <w:p w14:paraId="365A3C80" w14:textId="77777777" w:rsidR="004718C3" w:rsidRPr="00F27CBF" w:rsidRDefault="004718C3" w:rsidP="0076514A">
      <w:pPr>
        <w:autoSpaceDE w:val="0"/>
        <w:autoSpaceDN w:val="0"/>
        <w:adjustRightInd w:val="0"/>
        <w:rPr>
          <w:rFonts w:cs="MBembo"/>
          <w:sz w:val="22"/>
          <w:szCs w:val="22"/>
        </w:rPr>
      </w:pPr>
    </w:p>
    <w:p w14:paraId="47ACFF12" w14:textId="3F68CF7B" w:rsidR="001258B6" w:rsidRDefault="00E52FEB" w:rsidP="00AC2343">
      <w:pPr>
        <w:rPr>
          <w:rFonts w:ascii="Cambria" w:hAnsi="Cambria" w:cs="Cambria"/>
          <w:sz w:val="22"/>
          <w:szCs w:val="22"/>
        </w:rPr>
      </w:pPr>
      <w:r>
        <w:rPr>
          <w:rFonts w:ascii="Cambria" w:hAnsi="Cambria" w:cs="Cambria"/>
          <w:sz w:val="22"/>
          <w:szCs w:val="22"/>
        </w:rPr>
        <w:t>Second</w:t>
      </w:r>
      <w:r w:rsidR="00D9232C" w:rsidRPr="00F27CBF">
        <w:rPr>
          <w:rFonts w:ascii="Cambria" w:hAnsi="Cambria" w:cs="Cambria"/>
          <w:sz w:val="22"/>
          <w:szCs w:val="22"/>
        </w:rPr>
        <w:t xml:space="preserve">, </w:t>
      </w:r>
      <w:r w:rsidR="00F370B9" w:rsidRPr="00F27CBF">
        <w:rPr>
          <w:rFonts w:ascii="Cambria" w:hAnsi="Cambria" w:cs="Cambria"/>
          <w:sz w:val="22"/>
          <w:szCs w:val="22"/>
        </w:rPr>
        <w:t xml:space="preserve">that </w:t>
      </w:r>
      <w:proofErr w:type="gramStart"/>
      <w:r w:rsidR="00D9232C" w:rsidRPr="00F27CBF">
        <w:rPr>
          <w:rFonts w:ascii="Cambria" w:hAnsi="Cambria" w:cs="Cambria"/>
          <w:sz w:val="22"/>
          <w:szCs w:val="22"/>
        </w:rPr>
        <w:t xml:space="preserve">crises are not necessarily </w:t>
      </w:r>
      <w:r w:rsidR="00D9232C" w:rsidRPr="00E52FEB">
        <w:rPr>
          <w:rFonts w:ascii="Cambria" w:hAnsi="Cambria" w:cs="Cambria"/>
          <w:i/>
          <w:sz w:val="22"/>
          <w:szCs w:val="22"/>
        </w:rPr>
        <w:t>preceded</w:t>
      </w:r>
      <w:r w:rsidR="00D9232C" w:rsidRPr="00F27CBF">
        <w:rPr>
          <w:rFonts w:ascii="Cambria" w:hAnsi="Cambria" w:cs="Cambria"/>
          <w:sz w:val="22"/>
          <w:szCs w:val="22"/>
        </w:rPr>
        <w:t xml:space="preserve"> by falling profitability</w:t>
      </w:r>
      <w:proofErr w:type="gramEnd"/>
      <w:r w:rsidR="00F370B9" w:rsidRPr="00F27CBF">
        <w:rPr>
          <w:rFonts w:ascii="Cambria" w:hAnsi="Cambria" w:cs="Cambria"/>
          <w:sz w:val="22"/>
          <w:szCs w:val="22"/>
        </w:rPr>
        <w:t xml:space="preserve"> </w:t>
      </w:r>
      <w:r w:rsidR="00D9232C" w:rsidRPr="00F27CBF">
        <w:rPr>
          <w:rFonts w:ascii="Cambria" w:hAnsi="Cambria" w:cs="Cambria"/>
          <w:sz w:val="22"/>
          <w:szCs w:val="22"/>
        </w:rPr>
        <w:t xml:space="preserve">is not to say that crises are not </w:t>
      </w:r>
      <w:r w:rsidR="00D9232C" w:rsidRPr="00E52FEB">
        <w:rPr>
          <w:rFonts w:ascii="Cambria" w:hAnsi="Cambria" w:cs="Cambria"/>
          <w:i/>
          <w:sz w:val="22"/>
          <w:szCs w:val="22"/>
        </w:rPr>
        <w:t>determined</w:t>
      </w:r>
      <w:r w:rsidR="00D9232C" w:rsidRPr="00F27CBF">
        <w:rPr>
          <w:rFonts w:ascii="Cambria" w:hAnsi="Cambria" w:cs="Cambria"/>
          <w:sz w:val="22"/>
          <w:szCs w:val="22"/>
        </w:rPr>
        <w:t xml:space="preserve"> by falling profitability. </w:t>
      </w:r>
      <w:r w:rsidR="005F37CE">
        <w:rPr>
          <w:rFonts w:ascii="Cambria" w:hAnsi="Cambria" w:cs="Cambria"/>
          <w:sz w:val="22"/>
          <w:szCs w:val="22"/>
        </w:rPr>
        <w:t xml:space="preserve">They are. </w:t>
      </w:r>
      <w:r w:rsidR="003A0A9E" w:rsidRPr="00F27CBF">
        <w:rPr>
          <w:rFonts w:ascii="Cambria" w:hAnsi="Cambria" w:cs="Cambria"/>
          <w:sz w:val="22"/>
          <w:szCs w:val="22"/>
        </w:rPr>
        <w:t xml:space="preserve">Consider again the 2007-2009 crisis. </w:t>
      </w:r>
      <w:r w:rsidR="00AC2343">
        <w:rPr>
          <w:rFonts w:ascii="Cambria" w:hAnsi="Cambria" w:cs="Cambria"/>
          <w:sz w:val="22"/>
          <w:szCs w:val="22"/>
        </w:rPr>
        <w:t xml:space="preserve">It has two </w:t>
      </w:r>
      <w:r w:rsidR="00F43D7E">
        <w:rPr>
          <w:rFonts w:ascii="Cambria" w:hAnsi="Cambria" w:cs="Cambria"/>
          <w:sz w:val="22"/>
          <w:szCs w:val="22"/>
        </w:rPr>
        <w:t>aspects:</w:t>
      </w:r>
      <w:r w:rsidR="00AC2343">
        <w:rPr>
          <w:rFonts w:ascii="Cambria" w:hAnsi="Cambria" w:cs="Cambria"/>
          <w:sz w:val="22"/>
          <w:szCs w:val="22"/>
        </w:rPr>
        <w:t xml:space="preserve"> it is both a financial and a profitability crisis. Let us begin with the latter aspect.</w:t>
      </w:r>
      <w:r w:rsidR="00AC2343" w:rsidRPr="00AC2343">
        <w:rPr>
          <w:rFonts w:ascii="Cambria" w:hAnsi="Cambria" w:cs="Cambria"/>
          <w:sz w:val="22"/>
          <w:szCs w:val="22"/>
        </w:rPr>
        <w:t xml:space="preserve"> </w:t>
      </w:r>
    </w:p>
    <w:p w14:paraId="690FB7A7" w14:textId="77777777" w:rsidR="00D9730A" w:rsidRDefault="00D9730A" w:rsidP="00AC2343">
      <w:pPr>
        <w:rPr>
          <w:rFonts w:ascii="Cambria" w:hAnsi="Cambria" w:cs="Cambria"/>
          <w:sz w:val="22"/>
          <w:szCs w:val="22"/>
        </w:rPr>
      </w:pPr>
    </w:p>
    <w:p w14:paraId="3CBAE5D4" w14:textId="3902BC19" w:rsidR="00D9730A" w:rsidRDefault="00D9730A" w:rsidP="00D9730A">
      <w:pPr>
        <w:rPr>
          <w:rFonts w:ascii="Cambria" w:hAnsi="Cambria" w:cs="Cambria"/>
          <w:sz w:val="22"/>
          <w:szCs w:val="22"/>
        </w:rPr>
      </w:pPr>
      <w:proofErr w:type="gramStart"/>
      <w:r w:rsidRPr="00561083">
        <w:rPr>
          <w:rFonts w:ascii="Cambria" w:hAnsi="Cambria" w:cs="Cambria"/>
          <w:i/>
          <w:sz w:val="22"/>
          <w:szCs w:val="22"/>
        </w:rPr>
        <w:t>The profitability crisis.</w:t>
      </w:r>
      <w:proofErr w:type="gramEnd"/>
      <w:r>
        <w:rPr>
          <w:rFonts w:ascii="Cambria" w:hAnsi="Cambria" w:cs="Cambria"/>
          <w:sz w:val="22"/>
          <w:szCs w:val="22"/>
        </w:rPr>
        <w:t xml:space="preserve"> It starts in 2007, in spite of the previous rise in the ARP, because it is </w:t>
      </w:r>
      <w:r w:rsidRPr="00561083">
        <w:rPr>
          <w:rFonts w:ascii="Cambria" w:hAnsi="Cambria" w:cs="Cambria"/>
          <w:sz w:val="22"/>
          <w:szCs w:val="22"/>
        </w:rPr>
        <w:t xml:space="preserve">only in 2007 that the OCC starts rising after the previous </w:t>
      </w:r>
      <w:r w:rsidR="00930FB2">
        <w:rPr>
          <w:rFonts w:ascii="Cambria" w:hAnsi="Cambria" w:cs="Cambria"/>
          <w:sz w:val="22"/>
          <w:szCs w:val="22"/>
        </w:rPr>
        <w:t xml:space="preserve">4-year </w:t>
      </w:r>
      <w:r>
        <w:rPr>
          <w:rFonts w:ascii="Cambria" w:hAnsi="Cambria" w:cs="Cambria"/>
          <w:sz w:val="22"/>
          <w:szCs w:val="22"/>
        </w:rPr>
        <w:t>(column 6)</w:t>
      </w:r>
      <w:r w:rsidRPr="00561083">
        <w:rPr>
          <w:rFonts w:ascii="Cambria" w:hAnsi="Cambria" w:cs="Cambria"/>
          <w:sz w:val="22"/>
          <w:szCs w:val="22"/>
        </w:rPr>
        <w:t xml:space="preserve">. </w:t>
      </w:r>
      <w:r w:rsidRPr="00561083">
        <w:rPr>
          <w:rFonts w:cs="MBembo"/>
        </w:rPr>
        <w:t xml:space="preserve">Spurred by higher profit rates in 2003-06 and hindered by high capacity utilization, in 2007 capitals start investing in higher OCC assets. </w:t>
      </w:r>
      <w:r>
        <w:rPr>
          <w:rFonts w:cs="MBembo"/>
        </w:rPr>
        <w:t>T</w:t>
      </w:r>
      <w:r w:rsidRPr="00561083">
        <w:rPr>
          <w:rFonts w:cs="MBembo"/>
        </w:rPr>
        <w:t xml:space="preserve">he OCC rises </w:t>
      </w:r>
      <w:r>
        <w:rPr>
          <w:rFonts w:cs="MBembo"/>
        </w:rPr>
        <w:t>f</w:t>
      </w:r>
      <w:r w:rsidRPr="00561083">
        <w:rPr>
          <w:rFonts w:cs="MBembo"/>
        </w:rPr>
        <w:t xml:space="preserve">rom 2.07 in 2006 to </w:t>
      </w:r>
      <w:r>
        <w:rPr>
          <w:rFonts w:cs="MBembo"/>
        </w:rPr>
        <w:t>2.15 in 2007</w:t>
      </w:r>
      <w:r>
        <w:rPr>
          <w:rFonts w:cs="MBembo"/>
        </w:rPr>
        <w:t xml:space="preserve"> and continues rising afterwards (column 1)</w:t>
      </w:r>
      <w:r w:rsidRPr="00561083">
        <w:rPr>
          <w:rFonts w:cs="MBembo"/>
        </w:rPr>
        <w:t xml:space="preserve">. </w:t>
      </w:r>
      <w:r w:rsidRPr="00561083">
        <w:rPr>
          <w:rFonts w:ascii="Cambria" w:hAnsi="Cambria" w:cs="Cambria"/>
          <w:sz w:val="22"/>
          <w:szCs w:val="22"/>
        </w:rPr>
        <w:t>Therefore</w:t>
      </w:r>
      <w:r>
        <w:rPr>
          <w:rFonts w:ascii="Cambria" w:hAnsi="Cambria" w:cs="Cambria"/>
          <w:sz w:val="22"/>
          <w:szCs w:val="22"/>
        </w:rPr>
        <w:t xml:space="preserve"> the CE-ARP falls from 7.5</w:t>
      </w:r>
      <w:r>
        <w:rPr>
          <w:rFonts w:ascii="Cambria" w:hAnsi="Cambria" w:cs="Cambria"/>
          <w:sz w:val="22"/>
          <w:szCs w:val="22"/>
        </w:rPr>
        <w:t>0</w:t>
      </w:r>
      <w:r>
        <w:rPr>
          <w:rFonts w:ascii="Cambria" w:hAnsi="Cambria" w:cs="Cambria"/>
          <w:sz w:val="22"/>
          <w:szCs w:val="22"/>
        </w:rPr>
        <w:t>% to 7.3</w:t>
      </w:r>
      <w:r>
        <w:rPr>
          <w:rFonts w:ascii="Cambria" w:hAnsi="Cambria" w:cs="Cambria"/>
          <w:sz w:val="22"/>
          <w:szCs w:val="22"/>
        </w:rPr>
        <w:t>9</w:t>
      </w:r>
      <w:r>
        <w:rPr>
          <w:rFonts w:ascii="Cambria" w:hAnsi="Cambria" w:cs="Cambria"/>
          <w:sz w:val="22"/>
          <w:szCs w:val="22"/>
        </w:rPr>
        <w:t>%</w:t>
      </w:r>
      <w:r>
        <w:rPr>
          <w:rFonts w:ascii="Cambria" w:hAnsi="Cambria" w:cs="Cambria"/>
          <w:sz w:val="22"/>
          <w:szCs w:val="22"/>
        </w:rPr>
        <w:t xml:space="preserve"> (column 3)</w:t>
      </w:r>
      <w:r>
        <w:rPr>
          <w:rFonts w:ascii="Cambria" w:hAnsi="Cambria" w:cs="Cambria"/>
          <w:sz w:val="22"/>
          <w:szCs w:val="22"/>
        </w:rPr>
        <w:t xml:space="preserve">. This leads to a fall in the new value </w:t>
      </w:r>
      <w:r>
        <w:rPr>
          <w:rFonts w:ascii="Cambria" w:hAnsi="Cambria" w:cs="Cambria"/>
          <w:sz w:val="22"/>
          <w:szCs w:val="22"/>
        </w:rPr>
        <w:t>from 8.6</w:t>
      </w:r>
      <w:r>
        <w:rPr>
          <w:rFonts w:ascii="Cambria" w:hAnsi="Cambria" w:cs="Cambria"/>
          <w:sz w:val="22"/>
          <w:szCs w:val="22"/>
        </w:rPr>
        <w:t>% to -2.2%</w:t>
      </w:r>
      <w:r>
        <w:rPr>
          <w:rFonts w:ascii="Cambria" w:hAnsi="Cambria" w:cs="Cambria"/>
          <w:sz w:val="22"/>
          <w:szCs w:val="22"/>
        </w:rPr>
        <w:t xml:space="preserve"> (column 4)</w:t>
      </w:r>
      <w:r>
        <w:rPr>
          <w:rFonts w:ascii="Cambria" w:hAnsi="Cambria" w:cs="Cambria"/>
          <w:sz w:val="22"/>
          <w:szCs w:val="22"/>
        </w:rPr>
        <w:t xml:space="preserve">. </w:t>
      </w:r>
    </w:p>
    <w:p w14:paraId="2616359B" w14:textId="77777777" w:rsidR="00F43D7E" w:rsidRDefault="00F43D7E" w:rsidP="00AC2343">
      <w:pPr>
        <w:rPr>
          <w:rFonts w:ascii="Cambria" w:hAnsi="Cambria" w:cs="Cambria"/>
          <w:sz w:val="22"/>
          <w:szCs w:val="22"/>
        </w:rPr>
      </w:pPr>
    </w:p>
    <w:p w14:paraId="243BA397" w14:textId="52E2D046" w:rsidR="00F43D7E" w:rsidRPr="006079A8" w:rsidRDefault="00F43D7E" w:rsidP="00F43D7E">
      <w:pPr>
        <w:rPr>
          <w:rFonts w:ascii="Cambria" w:hAnsi="Cambria" w:cs="Cambria"/>
          <w:sz w:val="22"/>
          <w:szCs w:val="22"/>
        </w:rPr>
      </w:pPr>
      <w:r>
        <w:rPr>
          <w:rFonts w:ascii="Cambria" w:hAnsi="Cambria" w:cs="Cambria"/>
          <w:sz w:val="22"/>
          <w:szCs w:val="22"/>
        </w:rPr>
        <w:t>Table 2</w:t>
      </w:r>
      <w:r w:rsidRPr="006079A8">
        <w:rPr>
          <w:rFonts w:ascii="Cambria" w:hAnsi="Cambria" w:cs="Cambria"/>
          <w:sz w:val="22"/>
          <w:szCs w:val="22"/>
        </w:rPr>
        <w:t>.</w:t>
      </w:r>
    </w:p>
    <w:tbl>
      <w:tblPr>
        <w:tblStyle w:val="TableGrid"/>
        <w:tblW w:w="8856" w:type="dxa"/>
        <w:tblLook w:val="04A0" w:firstRow="1" w:lastRow="0" w:firstColumn="1" w:lastColumn="0" w:noHBand="0" w:noVBand="1"/>
      </w:tblPr>
      <w:tblGrid>
        <w:gridCol w:w="817"/>
        <w:gridCol w:w="992"/>
        <w:gridCol w:w="1985"/>
        <w:gridCol w:w="1417"/>
        <w:gridCol w:w="1560"/>
        <w:gridCol w:w="2085"/>
      </w:tblGrid>
      <w:tr w:rsidR="00D9730A" w14:paraId="66EB410C" w14:textId="77777777" w:rsidTr="00D9730A">
        <w:tc>
          <w:tcPr>
            <w:tcW w:w="817" w:type="dxa"/>
          </w:tcPr>
          <w:p w14:paraId="1EFF9B12" w14:textId="77777777" w:rsidR="00D9730A" w:rsidRDefault="00D9730A" w:rsidP="001A1F55">
            <w:pPr>
              <w:rPr>
                <w:rFonts w:cs="Cambria"/>
                <w:color w:val="FF0000"/>
                <w:sz w:val="22"/>
              </w:rPr>
            </w:pPr>
          </w:p>
        </w:tc>
        <w:tc>
          <w:tcPr>
            <w:tcW w:w="992" w:type="dxa"/>
          </w:tcPr>
          <w:p w14:paraId="4EECB264" w14:textId="20C714E8" w:rsidR="00D9730A" w:rsidRDefault="00D9730A" w:rsidP="001A1F55">
            <w:pPr>
              <w:rPr>
                <w:rFonts w:cs="Cambria"/>
                <w:color w:val="FF0000"/>
                <w:sz w:val="22"/>
              </w:rPr>
            </w:pPr>
            <w:r w:rsidRPr="003A7F8A">
              <w:rPr>
                <w:rFonts w:ascii="Calibri" w:hAnsi="Calibri" w:cs="Calibri"/>
                <w:szCs w:val="20"/>
              </w:rPr>
              <w:t>OCC</w:t>
            </w:r>
            <w:r>
              <w:rPr>
                <w:rFonts w:ascii="Calibri" w:hAnsi="Calibri" w:cs="Calibri"/>
                <w:szCs w:val="20"/>
              </w:rPr>
              <w:t xml:space="preserve"> (1)</w:t>
            </w:r>
          </w:p>
        </w:tc>
        <w:tc>
          <w:tcPr>
            <w:tcW w:w="1985" w:type="dxa"/>
          </w:tcPr>
          <w:p w14:paraId="698490A6" w14:textId="74BD472E" w:rsidR="00D9730A" w:rsidRDefault="00D9730A" w:rsidP="001A1F55">
            <w:pPr>
              <w:rPr>
                <w:rFonts w:cs="Cambria"/>
                <w:color w:val="FF0000"/>
                <w:sz w:val="22"/>
              </w:rPr>
            </w:pPr>
            <w:r w:rsidRPr="003A7F8A">
              <w:rPr>
                <w:rFonts w:ascii="Calibri" w:hAnsi="Calibri" w:cs="Calibri"/>
                <w:szCs w:val="20"/>
              </w:rPr>
              <w:t> Exploitation rate</w:t>
            </w:r>
            <w:r>
              <w:rPr>
                <w:rFonts w:ascii="Calibri" w:hAnsi="Calibri" w:cs="Calibri"/>
                <w:szCs w:val="20"/>
              </w:rPr>
              <w:t xml:space="preserve"> (2)</w:t>
            </w:r>
          </w:p>
        </w:tc>
        <w:tc>
          <w:tcPr>
            <w:tcW w:w="1417" w:type="dxa"/>
          </w:tcPr>
          <w:p w14:paraId="1DAE26D8" w14:textId="4D356AF5" w:rsidR="00D9730A" w:rsidRDefault="00D9730A" w:rsidP="001A1F55">
            <w:pPr>
              <w:rPr>
                <w:rFonts w:cs="Cambria"/>
                <w:color w:val="FF0000"/>
                <w:sz w:val="22"/>
              </w:rPr>
            </w:pPr>
            <w:r w:rsidRPr="003A7F8A">
              <w:rPr>
                <w:rFonts w:ascii="Calibri" w:hAnsi="Calibri" w:cs="Calibri"/>
                <w:szCs w:val="20"/>
              </w:rPr>
              <w:t>CE-ARP</w:t>
            </w:r>
            <w:r>
              <w:rPr>
                <w:rFonts w:ascii="Calibri" w:hAnsi="Calibri" w:cs="Calibri"/>
                <w:szCs w:val="20"/>
              </w:rPr>
              <w:t xml:space="preserve"> (3)</w:t>
            </w:r>
          </w:p>
        </w:tc>
        <w:tc>
          <w:tcPr>
            <w:tcW w:w="1560" w:type="dxa"/>
          </w:tcPr>
          <w:p w14:paraId="65F18991" w14:textId="1C60A606" w:rsidR="00D9730A" w:rsidRPr="006079A8" w:rsidRDefault="00D9730A" w:rsidP="001A1F55">
            <w:pPr>
              <w:rPr>
                <w:rFonts w:cs="Cambria"/>
                <w:sz w:val="22"/>
              </w:rPr>
            </w:pPr>
            <w:r>
              <w:rPr>
                <w:rFonts w:cs="Cambria"/>
                <w:sz w:val="22"/>
              </w:rPr>
              <w:t>New value (4)</w:t>
            </w:r>
          </w:p>
        </w:tc>
        <w:tc>
          <w:tcPr>
            <w:tcW w:w="2085" w:type="dxa"/>
          </w:tcPr>
          <w:p w14:paraId="3D14ED95" w14:textId="42CE06D3" w:rsidR="00D9730A" w:rsidRPr="006079A8" w:rsidRDefault="00D9730A" w:rsidP="001A1F55">
            <w:pPr>
              <w:rPr>
                <w:rFonts w:cs="Cambria"/>
                <w:sz w:val="22"/>
              </w:rPr>
            </w:pPr>
            <w:r w:rsidRPr="006079A8">
              <w:rPr>
                <w:rFonts w:cs="Cambria"/>
                <w:sz w:val="22"/>
              </w:rPr>
              <w:t>Wage share</w:t>
            </w:r>
            <w:r>
              <w:rPr>
                <w:rFonts w:cs="Cambria"/>
                <w:sz w:val="22"/>
              </w:rPr>
              <w:t xml:space="preserve"> (5)</w:t>
            </w:r>
          </w:p>
        </w:tc>
      </w:tr>
      <w:tr w:rsidR="00D9730A" w14:paraId="65E72A43" w14:textId="77777777" w:rsidTr="00D9730A">
        <w:tc>
          <w:tcPr>
            <w:tcW w:w="817" w:type="dxa"/>
          </w:tcPr>
          <w:p w14:paraId="6A2B53FB" w14:textId="77777777" w:rsidR="00D9730A" w:rsidRDefault="00D9730A" w:rsidP="001A1F55">
            <w:pPr>
              <w:rPr>
                <w:rFonts w:cs="Cambria"/>
                <w:color w:val="FF0000"/>
                <w:sz w:val="22"/>
              </w:rPr>
            </w:pPr>
            <w:r w:rsidRPr="003A7F8A">
              <w:rPr>
                <w:rFonts w:ascii="Calibri" w:hAnsi="Calibri" w:cs="Calibri"/>
                <w:szCs w:val="20"/>
              </w:rPr>
              <w:t>2006</w:t>
            </w:r>
          </w:p>
        </w:tc>
        <w:tc>
          <w:tcPr>
            <w:tcW w:w="992" w:type="dxa"/>
          </w:tcPr>
          <w:p w14:paraId="1B41B03C" w14:textId="77777777" w:rsidR="00D9730A" w:rsidRDefault="00D9730A" w:rsidP="001A1F55">
            <w:pPr>
              <w:rPr>
                <w:rFonts w:cs="Cambria"/>
                <w:color w:val="FF0000"/>
                <w:sz w:val="22"/>
              </w:rPr>
            </w:pPr>
            <w:r w:rsidRPr="003A7F8A">
              <w:rPr>
                <w:rFonts w:ascii="Calibri" w:hAnsi="Calibri" w:cs="Calibri"/>
                <w:szCs w:val="20"/>
              </w:rPr>
              <w:t>2.07</w:t>
            </w:r>
          </w:p>
        </w:tc>
        <w:tc>
          <w:tcPr>
            <w:tcW w:w="1985" w:type="dxa"/>
          </w:tcPr>
          <w:p w14:paraId="42129E6D" w14:textId="77777777" w:rsidR="00D9730A" w:rsidRDefault="00D9730A" w:rsidP="001A1F55">
            <w:pPr>
              <w:rPr>
                <w:rFonts w:cs="Cambria"/>
                <w:color w:val="FF0000"/>
                <w:sz w:val="22"/>
              </w:rPr>
            </w:pPr>
            <w:r w:rsidRPr="003A7F8A">
              <w:rPr>
                <w:rFonts w:ascii="Calibri" w:hAnsi="Calibri" w:cs="Calibri"/>
                <w:szCs w:val="20"/>
              </w:rPr>
              <w:t>40.2</w:t>
            </w:r>
          </w:p>
        </w:tc>
        <w:tc>
          <w:tcPr>
            <w:tcW w:w="1417" w:type="dxa"/>
          </w:tcPr>
          <w:p w14:paraId="5F549104" w14:textId="77777777" w:rsidR="00D9730A" w:rsidRDefault="00D9730A" w:rsidP="001A1F55">
            <w:pPr>
              <w:rPr>
                <w:rFonts w:cs="Cambria"/>
                <w:color w:val="FF0000"/>
                <w:sz w:val="22"/>
              </w:rPr>
            </w:pPr>
            <w:r w:rsidRPr="003A7F8A">
              <w:rPr>
                <w:rFonts w:ascii="Calibri" w:hAnsi="Calibri" w:cs="Calibri"/>
                <w:szCs w:val="20"/>
              </w:rPr>
              <w:t>7.50%</w:t>
            </w:r>
          </w:p>
        </w:tc>
        <w:tc>
          <w:tcPr>
            <w:tcW w:w="1560" w:type="dxa"/>
          </w:tcPr>
          <w:p w14:paraId="2E46798C" w14:textId="2BFA488C" w:rsidR="00D9730A" w:rsidRDefault="00D9730A" w:rsidP="001A1F55">
            <w:pPr>
              <w:rPr>
                <w:rFonts w:ascii="Calibri" w:eastAsia="Times New Roman" w:hAnsi="Calibri"/>
                <w:color w:val="000000"/>
                <w:sz w:val="22"/>
              </w:rPr>
            </w:pPr>
            <w:r>
              <w:rPr>
                <w:rFonts w:ascii="Calibri" w:eastAsia="Times New Roman" w:hAnsi="Calibri"/>
                <w:color w:val="000000"/>
                <w:sz w:val="22"/>
              </w:rPr>
              <w:t>8.67%</w:t>
            </w:r>
          </w:p>
        </w:tc>
        <w:tc>
          <w:tcPr>
            <w:tcW w:w="2085" w:type="dxa"/>
            <w:vAlign w:val="bottom"/>
          </w:tcPr>
          <w:p w14:paraId="4A4C22FD" w14:textId="7E3765BA" w:rsidR="00D9730A" w:rsidRDefault="00D9730A" w:rsidP="001A1F55">
            <w:pPr>
              <w:rPr>
                <w:rFonts w:cs="Cambria"/>
                <w:color w:val="FF0000"/>
                <w:sz w:val="22"/>
              </w:rPr>
            </w:pPr>
            <w:r>
              <w:rPr>
                <w:rFonts w:ascii="Calibri" w:eastAsia="Times New Roman" w:hAnsi="Calibri"/>
                <w:color w:val="000000"/>
                <w:sz w:val="22"/>
              </w:rPr>
              <w:t>28,8</w:t>
            </w:r>
          </w:p>
        </w:tc>
      </w:tr>
      <w:tr w:rsidR="00D9730A" w14:paraId="26DA49CB" w14:textId="77777777" w:rsidTr="00D9730A">
        <w:tc>
          <w:tcPr>
            <w:tcW w:w="817" w:type="dxa"/>
          </w:tcPr>
          <w:p w14:paraId="704D2AD2" w14:textId="77777777" w:rsidR="00D9730A" w:rsidRDefault="00D9730A" w:rsidP="001A1F55">
            <w:pPr>
              <w:rPr>
                <w:rFonts w:cs="Cambria"/>
                <w:color w:val="FF0000"/>
                <w:sz w:val="22"/>
              </w:rPr>
            </w:pPr>
            <w:r w:rsidRPr="003A7F8A">
              <w:rPr>
                <w:rFonts w:ascii="Calibri" w:hAnsi="Calibri" w:cs="Calibri"/>
                <w:szCs w:val="20"/>
              </w:rPr>
              <w:t>2007</w:t>
            </w:r>
          </w:p>
        </w:tc>
        <w:tc>
          <w:tcPr>
            <w:tcW w:w="992" w:type="dxa"/>
          </w:tcPr>
          <w:p w14:paraId="5B70BC5D" w14:textId="77777777" w:rsidR="00D9730A" w:rsidRDefault="00D9730A" w:rsidP="001A1F55">
            <w:pPr>
              <w:rPr>
                <w:rFonts w:cs="Cambria"/>
                <w:color w:val="FF0000"/>
                <w:sz w:val="22"/>
              </w:rPr>
            </w:pPr>
            <w:r w:rsidRPr="003A7F8A">
              <w:rPr>
                <w:rFonts w:ascii="Calibri" w:hAnsi="Calibri" w:cs="Calibri"/>
                <w:szCs w:val="20"/>
              </w:rPr>
              <w:t>2.15</w:t>
            </w:r>
          </w:p>
        </w:tc>
        <w:tc>
          <w:tcPr>
            <w:tcW w:w="1985" w:type="dxa"/>
          </w:tcPr>
          <w:p w14:paraId="0EF72237" w14:textId="77777777" w:rsidR="00D9730A" w:rsidRDefault="00D9730A" w:rsidP="001A1F55">
            <w:pPr>
              <w:rPr>
                <w:rFonts w:cs="Cambria"/>
                <w:color w:val="FF0000"/>
                <w:sz w:val="22"/>
              </w:rPr>
            </w:pPr>
            <w:r w:rsidRPr="003A7F8A">
              <w:rPr>
                <w:rFonts w:ascii="Calibri" w:hAnsi="Calibri" w:cs="Calibri"/>
                <w:szCs w:val="20"/>
              </w:rPr>
              <w:t>34.6</w:t>
            </w:r>
          </w:p>
        </w:tc>
        <w:tc>
          <w:tcPr>
            <w:tcW w:w="1417" w:type="dxa"/>
          </w:tcPr>
          <w:p w14:paraId="39E85712" w14:textId="77777777" w:rsidR="00D9730A" w:rsidRDefault="00D9730A" w:rsidP="001A1F55">
            <w:pPr>
              <w:rPr>
                <w:rFonts w:cs="Cambria"/>
                <w:color w:val="FF0000"/>
                <w:sz w:val="22"/>
              </w:rPr>
            </w:pPr>
            <w:r w:rsidRPr="003A7F8A">
              <w:rPr>
                <w:rFonts w:ascii="Calibri" w:hAnsi="Calibri" w:cs="Calibri"/>
                <w:szCs w:val="20"/>
              </w:rPr>
              <w:t>7.39%</w:t>
            </w:r>
          </w:p>
        </w:tc>
        <w:tc>
          <w:tcPr>
            <w:tcW w:w="1560" w:type="dxa"/>
          </w:tcPr>
          <w:p w14:paraId="1C970C1A" w14:textId="3BBDDFC7" w:rsidR="00D9730A" w:rsidRDefault="00D9730A" w:rsidP="001A1F55">
            <w:pPr>
              <w:rPr>
                <w:rFonts w:ascii="Calibri" w:eastAsia="Times New Roman" w:hAnsi="Calibri"/>
                <w:color w:val="000000"/>
                <w:sz w:val="22"/>
              </w:rPr>
            </w:pPr>
            <w:r>
              <w:rPr>
                <w:rFonts w:ascii="Calibri" w:eastAsia="Times New Roman" w:hAnsi="Calibri"/>
                <w:color w:val="000000"/>
                <w:sz w:val="22"/>
              </w:rPr>
              <w:t>-2.2%</w:t>
            </w:r>
          </w:p>
        </w:tc>
        <w:tc>
          <w:tcPr>
            <w:tcW w:w="2085" w:type="dxa"/>
            <w:vAlign w:val="bottom"/>
          </w:tcPr>
          <w:p w14:paraId="21612522" w14:textId="60B1B5C4" w:rsidR="00D9730A" w:rsidRDefault="00D9730A" w:rsidP="001A1F55">
            <w:pPr>
              <w:rPr>
                <w:rFonts w:cs="Cambria"/>
                <w:color w:val="FF0000"/>
                <w:sz w:val="22"/>
              </w:rPr>
            </w:pPr>
            <w:r>
              <w:rPr>
                <w:rFonts w:ascii="Calibri" w:eastAsia="Times New Roman" w:hAnsi="Calibri"/>
                <w:color w:val="000000"/>
                <w:sz w:val="22"/>
              </w:rPr>
              <w:t>28,6</w:t>
            </w:r>
          </w:p>
        </w:tc>
      </w:tr>
      <w:tr w:rsidR="00D9730A" w14:paraId="032B8BF9" w14:textId="77777777" w:rsidTr="00D9730A">
        <w:tc>
          <w:tcPr>
            <w:tcW w:w="817" w:type="dxa"/>
          </w:tcPr>
          <w:p w14:paraId="1F4DAC51" w14:textId="77777777" w:rsidR="00D9730A" w:rsidRDefault="00D9730A" w:rsidP="001A1F55">
            <w:pPr>
              <w:rPr>
                <w:rFonts w:cs="Cambria"/>
                <w:color w:val="FF0000"/>
                <w:sz w:val="22"/>
              </w:rPr>
            </w:pPr>
            <w:r w:rsidRPr="003A7F8A">
              <w:rPr>
                <w:rFonts w:ascii="Calibri" w:hAnsi="Calibri" w:cs="Calibri"/>
                <w:szCs w:val="20"/>
              </w:rPr>
              <w:t>2008</w:t>
            </w:r>
          </w:p>
        </w:tc>
        <w:tc>
          <w:tcPr>
            <w:tcW w:w="992" w:type="dxa"/>
          </w:tcPr>
          <w:p w14:paraId="01D8626A" w14:textId="77777777" w:rsidR="00D9730A" w:rsidRDefault="00D9730A" w:rsidP="001A1F55">
            <w:pPr>
              <w:rPr>
                <w:rFonts w:cs="Cambria"/>
                <w:color w:val="FF0000"/>
                <w:sz w:val="22"/>
              </w:rPr>
            </w:pPr>
            <w:r w:rsidRPr="003A7F8A">
              <w:rPr>
                <w:rFonts w:ascii="Calibri" w:hAnsi="Calibri" w:cs="Calibri"/>
                <w:szCs w:val="20"/>
              </w:rPr>
              <w:t>2.36</w:t>
            </w:r>
          </w:p>
        </w:tc>
        <w:tc>
          <w:tcPr>
            <w:tcW w:w="1985" w:type="dxa"/>
          </w:tcPr>
          <w:p w14:paraId="65443ED1" w14:textId="77777777" w:rsidR="00D9730A" w:rsidRDefault="00D9730A" w:rsidP="001A1F55">
            <w:pPr>
              <w:rPr>
                <w:rFonts w:cs="Cambria"/>
                <w:color w:val="FF0000"/>
                <w:sz w:val="22"/>
              </w:rPr>
            </w:pPr>
            <w:r w:rsidRPr="003A7F8A">
              <w:rPr>
                <w:rFonts w:ascii="Calibri" w:hAnsi="Calibri" w:cs="Calibri"/>
                <w:szCs w:val="20"/>
              </w:rPr>
              <w:t>26.1</w:t>
            </w:r>
          </w:p>
        </w:tc>
        <w:tc>
          <w:tcPr>
            <w:tcW w:w="1417" w:type="dxa"/>
          </w:tcPr>
          <w:p w14:paraId="062ACE9E" w14:textId="77777777" w:rsidR="00D9730A" w:rsidRDefault="00D9730A" w:rsidP="001A1F55">
            <w:pPr>
              <w:rPr>
                <w:rFonts w:cs="Cambria"/>
                <w:color w:val="FF0000"/>
                <w:sz w:val="22"/>
              </w:rPr>
            </w:pPr>
            <w:r w:rsidRPr="003A7F8A">
              <w:rPr>
                <w:rFonts w:ascii="Calibri" w:hAnsi="Calibri" w:cs="Calibri"/>
                <w:szCs w:val="20"/>
              </w:rPr>
              <w:t>6.83%</w:t>
            </w:r>
          </w:p>
        </w:tc>
        <w:tc>
          <w:tcPr>
            <w:tcW w:w="1560" w:type="dxa"/>
          </w:tcPr>
          <w:p w14:paraId="5477AE29" w14:textId="7E3EA29E" w:rsidR="00D9730A" w:rsidRDefault="00D9730A" w:rsidP="001A1F55">
            <w:pPr>
              <w:rPr>
                <w:rFonts w:ascii="Calibri" w:eastAsia="Times New Roman" w:hAnsi="Calibri"/>
                <w:color w:val="000000"/>
                <w:sz w:val="22"/>
              </w:rPr>
            </w:pPr>
            <w:r>
              <w:rPr>
                <w:rFonts w:ascii="Calibri" w:eastAsia="Times New Roman" w:hAnsi="Calibri"/>
                <w:color w:val="000000"/>
                <w:sz w:val="22"/>
              </w:rPr>
              <w:t>-9.5</w:t>
            </w:r>
          </w:p>
        </w:tc>
        <w:tc>
          <w:tcPr>
            <w:tcW w:w="2085" w:type="dxa"/>
            <w:vAlign w:val="bottom"/>
          </w:tcPr>
          <w:p w14:paraId="33454317" w14:textId="69B80A80" w:rsidR="00D9730A" w:rsidRDefault="00D9730A" w:rsidP="001A1F55">
            <w:pPr>
              <w:rPr>
                <w:rFonts w:cs="Cambria"/>
                <w:color w:val="FF0000"/>
                <w:sz w:val="22"/>
              </w:rPr>
            </w:pPr>
            <w:r>
              <w:rPr>
                <w:rFonts w:ascii="Calibri" w:eastAsia="Times New Roman" w:hAnsi="Calibri"/>
                <w:color w:val="000000"/>
                <w:sz w:val="22"/>
              </w:rPr>
              <w:t>27,6</w:t>
            </w:r>
          </w:p>
        </w:tc>
      </w:tr>
      <w:tr w:rsidR="00D9730A" w14:paraId="7A0C1691" w14:textId="77777777" w:rsidTr="00D9730A">
        <w:tc>
          <w:tcPr>
            <w:tcW w:w="817" w:type="dxa"/>
          </w:tcPr>
          <w:p w14:paraId="38A56EED" w14:textId="77777777" w:rsidR="00D9730A" w:rsidRDefault="00D9730A" w:rsidP="001A1F55">
            <w:pPr>
              <w:rPr>
                <w:rFonts w:cs="Cambria"/>
                <w:color w:val="FF0000"/>
                <w:sz w:val="22"/>
              </w:rPr>
            </w:pPr>
            <w:r w:rsidRPr="003A7F8A">
              <w:rPr>
                <w:rFonts w:ascii="Calibri" w:hAnsi="Calibri" w:cs="Calibri"/>
                <w:szCs w:val="20"/>
              </w:rPr>
              <w:t>2009</w:t>
            </w:r>
          </w:p>
        </w:tc>
        <w:tc>
          <w:tcPr>
            <w:tcW w:w="992" w:type="dxa"/>
          </w:tcPr>
          <w:p w14:paraId="3D9D5F07" w14:textId="77777777" w:rsidR="00D9730A" w:rsidRDefault="00D9730A" w:rsidP="001A1F55">
            <w:pPr>
              <w:rPr>
                <w:rFonts w:cs="Cambria"/>
                <w:color w:val="FF0000"/>
                <w:sz w:val="22"/>
              </w:rPr>
            </w:pPr>
            <w:r w:rsidRPr="003A7F8A">
              <w:rPr>
                <w:rFonts w:ascii="Calibri" w:hAnsi="Calibri" w:cs="Calibri"/>
                <w:szCs w:val="20"/>
              </w:rPr>
              <w:t>2.67</w:t>
            </w:r>
          </w:p>
        </w:tc>
        <w:tc>
          <w:tcPr>
            <w:tcW w:w="1985" w:type="dxa"/>
          </w:tcPr>
          <w:p w14:paraId="595373B9" w14:textId="77777777" w:rsidR="00D9730A" w:rsidRDefault="00D9730A" w:rsidP="001A1F55">
            <w:pPr>
              <w:rPr>
                <w:rFonts w:cs="Cambria"/>
                <w:color w:val="FF0000"/>
                <w:sz w:val="22"/>
              </w:rPr>
            </w:pPr>
            <w:r w:rsidRPr="003A7F8A">
              <w:rPr>
                <w:rFonts w:ascii="Calibri" w:hAnsi="Calibri" w:cs="Calibri"/>
                <w:szCs w:val="20"/>
              </w:rPr>
              <w:t>16.3</w:t>
            </w:r>
          </w:p>
        </w:tc>
        <w:tc>
          <w:tcPr>
            <w:tcW w:w="1417" w:type="dxa"/>
          </w:tcPr>
          <w:p w14:paraId="718B546C" w14:textId="77777777" w:rsidR="00D9730A" w:rsidRDefault="00D9730A" w:rsidP="001A1F55">
            <w:pPr>
              <w:rPr>
                <w:rFonts w:cs="Cambria"/>
                <w:color w:val="FF0000"/>
                <w:sz w:val="22"/>
              </w:rPr>
            </w:pPr>
            <w:r w:rsidRPr="003A7F8A">
              <w:rPr>
                <w:rFonts w:ascii="Calibri" w:hAnsi="Calibri" w:cs="Calibri"/>
                <w:szCs w:val="20"/>
              </w:rPr>
              <w:t>5.99%</w:t>
            </w:r>
          </w:p>
        </w:tc>
        <w:tc>
          <w:tcPr>
            <w:tcW w:w="1560" w:type="dxa"/>
          </w:tcPr>
          <w:p w14:paraId="427B9E9B" w14:textId="43F1729F" w:rsidR="00D9730A" w:rsidRDefault="00D9730A" w:rsidP="001A1F55">
            <w:pPr>
              <w:rPr>
                <w:rFonts w:ascii="Calibri" w:eastAsia="Times New Roman" w:hAnsi="Calibri"/>
                <w:color w:val="000000"/>
                <w:sz w:val="22"/>
              </w:rPr>
            </w:pPr>
            <w:r>
              <w:rPr>
                <w:rFonts w:ascii="Calibri" w:eastAsia="Times New Roman" w:hAnsi="Calibri"/>
                <w:color w:val="000000"/>
                <w:sz w:val="22"/>
              </w:rPr>
              <w:t>-16.7</w:t>
            </w:r>
          </w:p>
        </w:tc>
        <w:tc>
          <w:tcPr>
            <w:tcW w:w="2085" w:type="dxa"/>
            <w:vAlign w:val="bottom"/>
          </w:tcPr>
          <w:p w14:paraId="0932B9BC" w14:textId="0E6136AF" w:rsidR="00D9730A" w:rsidRDefault="00D9730A" w:rsidP="001A1F55">
            <w:pPr>
              <w:rPr>
                <w:rFonts w:cs="Cambria"/>
                <w:color w:val="FF0000"/>
                <w:sz w:val="22"/>
              </w:rPr>
            </w:pPr>
            <w:r>
              <w:rPr>
                <w:rFonts w:ascii="Calibri" w:eastAsia="Times New Roman" w:hAnsi="Calibri"/>
                <w:color w:val="000000"/>
                <w:sz w:val="22"/>
              </w:rPr>
              <w:t>26,0</w:t>
            </w:r>
          </w:p>
        </w:tc>
      </w:tr>
    </w:tbl>
    <w:p w14:paraId="3D133095" w14:textId="77777777" w:rsidR="00F43D7E" w:rsidRDefault="00F43D7E" w:rsidP="00AC2343">
      <w:pPr>
        <w:rPr>
          <w:rFonts w:ascii="Cambria" w:hAnsi="Cambria" w:cs="Cambria"/>
          <w:sz w:val="22"/>
          <w:szCs w:val="22"/>
        </w:rPr>
      </w:pPr>
    </w:p>
    <w:p w14:paraId="6BC82A76" w14:textId="6FA7E536" w:rsidR="00DF7EC2" w:rsidRPr="00F27CBF" w:rsidRDefault="001258B6" w:rsidP="00DF7EC2">
      <w:pPr>
        <w:widowControl w:val="0"/>
        <w:autoSpaceDE w:val="0"/>
        <w:autoSpaceDN w:val="0"/>
        <w:adjustRightInd w:val="0"/>
        <w:rPr>
          <w:rFonts w:ascii="Cambria" w:hAnsi="Cambria" w:cs="Cambria"/>
          <w:sz w:val="22"/>
          <w:szCs w:val="22"/>
        </w:rPr>
      </w:pPr>
      <w:proofErr w:type="gramStart"/>
      <w:r w:rsidRPr="00561083">
        <w:rPr>
          <w:rFonts w:ascii="Cambria" w:hAnsi="Cambria" w:cs="Cambria"/>
          <w:i/>
          <w:sz w:val="22"/>
          <w:szCs w:val="22"/>
        </w:rPr>
        <w:t>The</w:t>
      </w:r>
      <w:r w:rsidR="008C084D" w:rsidRPr="00561083">
        <w:rPr>
          <w:rFonts w:ascii="Cambria" w:hAnsi="Cambria" w:cs="Cambria"/>
          <w:i/>
          <w:sz w:val="22"/>
          <w:szCs w:val="22"/>
        </w:rPr>
        <w:t xml:space="preserve"> </w:t>
      </w:r>
      <w:r w:rsidRPr="00561083">
        <w:rPr>
          <w:rFonts w:ascii="Cambria" w:hAnsi="Cambria" w:cs="Cambria"/>
          <w:i/>
          <w:sz w:val="22"/>
          <w:szCs w:val="22"/>
        </w:rPr>
        <w:t>financial</w:t>
      </w:r>
      <w:r w:rsidR="008C084D" w:rsidRPr="00561083">
        <w:rPr>
          <w:rFonts w:ascii="Cambria" w:hAnsi="Cambria" w:cs="Cambria"/>
          <w:i/>
          <w:sz w:val="22"/>
          <w:szCs w:val="22"/>
        </w:rPr>
        <w:t xml:space="preserve"> </w:t>
      </w:r>
      <w:r w:rsidRPr="00561083">
        <w:rPr>
          <w:rFonts w:ascii="Cambria" w:hAnsi="Cambria" w:cs="Cambria"/>
          <w:i/>
          <w:sz w:val="22"/>
          <w:szCs w:val="22"/>
        </w:rPr>
        <w:t>crisis</w:t>
      </w:r>
      <w:r w:rsidR="008C084D">
        <w:rPr>
          <w:rFonts w:ascii="Cambria" w:hAnsi="Cambria" w:cs="Cambria"/>
          <w:sz w:val="22"/>
          <w:szCs w:val="22"/>
        </w:rPr>
        <w:t>.</w:t>
      </w:r>
      <w:proofErr w:type="gramEnd"/>
      <w:r w:rsidR="008C084D">
        <w:rPr>
          <w:rFonts w:ascii="Cambria" w:hAnsi="Cambria" w:cs="Cambria"/>
          <w:sz w:val="22"/>
          <w:szCs w:val="22"/>
        </w:rPr>
        <w:t xml:space="preserve"> </w:t>
      </w:r>
      <w:r w:rsidR="008A6D58" w:rsidRPr="00F27CBF">
        <w:rPr>
          <w:rFonts w:ascii="Cambria" w:hAnsi="Cambria" w:cs="Cambria"/>
          <w:sz w:val="22"/>
          <w:szCs w:val="22"/>
        </w:rPr>
        <w:t xml:space="preserve">To understand how it has been determined by falling profitability we must take a step back, to the 1997-2002 downward cycle. </w:t>
      </w:r>
    </w:p>
    <w:p w14:paraId="1FDD1FD0" w14:textId="77777777" w:rsidR="00050DCE" w:rsidRPr="00F27CBF" w:rsidRDefault="00050DCE" w:rsidP="00DF7EC2">
      <w:pPr>
        <w:widowControl w:val="0"/>
        <w:autoSpaceDE w:val="0"/>
        <w:autoSpaceDN w:val="0"/>
        <w:adjustRightInd w:val="0"/>
        <w:rPr>
          <w:rFonts w:ascii="Cambria" w:hAnsi="Cambria" w:cs="Cambria"/>
          <w:sz w:val="22"/>
          <w:szCs w:val="22"/>
        </w:rPr>
      </w:pPr>
    </w:p>
    <w:p w14:paraId="011A2783" w14:textId="1B6ADD92" w:rsidR="00050DCE" w:rsidRPr="003A7F8A" w:rsidRDefault="00031CBD" w:rsidP="00DF7EC2">
      <w:pPr>
        <w:widowControl w:val="0"/>
        <w:autoSpaceDE w:val="0"/>
        <w:autoSpaceDN w:val="0"/>
        <w:adjustRightInd w:val="0"/>
        <w:rPr>
          <w:rFonts w:ascii="Cambria" w:hAnsi="Cambria" w:cs="Cambria"/>
          <w:sz w:val="22"/>
          <w:szCs w:val="22"/>
        </w:rPr>
      </w:pPr>
      <w:r>
        <w:rPr>
          <w:rFonts w:ascii="Cambria" w:hAnsi="Cambria" w:cs="Cambria"/>
          <w:sz w:val="22"/>
          <w:szCs w:val="22"/>
        </w:rPr>
        <w:t>Table 3</w:t>
      </w:r>
      <w:r w:rsidR="00050DCE" w:rsidRPr="003A7F8A">
        <w:rPr>
          <w:rFonts w:ascii="Cambria" w:hAnsi="Cambria" w:cs="Cambria"/>
          <w:sz w:val="22"/>
          <w:szCs w:val="22"/>
        </w:rPr>
        <w:t>.</w:t>
      </w:r>
    </w:p>
    <w:tbl>
      <w:tblPr>
        <w:tblW w:w="0" w:type="auto"/>
        <w:tblBorders>
          <w:top w:val="nil"/>
          <w:left w:val="nil"/>
          <w:right w:val="nil"/>
        </w:tblBorders>
        <w:tblLayout w:type="fixed"/>
        <w:tblLook w:val="0000" w:firstRow="0" w:lastRow="0" w:firstColumn="0" w:lastColumn="0" w:noHBand="0" w:noVBand="0"/>
      </w:tblPr>
      <w:tblGrid>
        <w:gridCol w:w="2240"/>
        <w:gridCol w:w="2480"/>
        <w:gridCol w:w="2260"/>
        <w:gridCol w:w="2320"/>
      </w:tblGrid>
      <w:tr w:rsidR="00DF7EC2" w:rsidRPr="003A7F8A" w14:paraId="0808B058" w14:textId="77777777" w:rsidTr="000A7CE0">
        <w:tc>
          <w:tcPr>
            <w:tcW w:w="2240" w:type="dxa"/>
            <w:tcBorders>
              <w:top w:val="single" w:sz="8" w:space="0" w:color="000000"/>
              <w:left w:val="single" w:sz="8" w:space="0" w:color="000000"/>
              <w:bottom w:val="single" w:sz="8" w:space="0" w:color="000000"/>
              <w:right w:val="single" w:sz="8" w:space="0" w:color="000000"/>
            </w:tcBorders>
            <w:tcMar>
              <w:top w:w="140" w:type="nil"/>
              <w:right w:w="140" w:type="nil"/>
            </w:tcMar>
          </w:tcPr>
          <w:p w14:paraId="6C66C625" w14:textId="77777777" w:rsidR="00DF7EC2" w:rsidRPr="003A7F8A" w:rsidRDefault="00DF7EC2" w:rsidP="000A7CE0">
            <w:pPr>
              <w:widowControl w:val="0"/>
              <w:autoSpaceDE w:val="0"/>
              <w:autoSpaceDN w:val="0"/>
              <w:adjustRightInd w:val="0"/>
              <w:rPr>
                <w:rFonts w:ascii="Arial" w:hAnsi="Arial" w:cs="Arial"/>
                <w:sz w:val="20"/>
                <w:szCs w:val="20"/>
              </w:rPr>
            </w:pPr>
            <w:r w:rsidRPr="003A7F8A">
              <w:rPr>
                <w:rFonts w:ascii="Arial" w:hAnsi="Arial" w:cs="Arial"/>
                <w:sz w:val="20"/>
                <w:szCs w:val="20"/>
              </w:rPr>
              <w:t> </w:t>
            </w:r>
          </w:p>
        </w:tc>
        <w:tc>
          <w:tcPr>
            <w:tcW w:w="2480" w:type="dxa"/>
            <w:tcBorders>
              <w:top w:val="single" w:sz="8" w:space="0" w:color="000000"/>
              <w:bottom w:val="single" w:sz="8" w:space="0" w:color="000000"/>
              <w:right w:val="single" w:sz="8" w:space="0" w:color="000000"/>
            </w:tcBorders>
            <w:tcMar>
              <w:top w:w="140" w:type="nil"/>
              <w:right w:w="140" w:type="nil"/>
            </w:tcMar>
          </w:tcPr>
          <w:p w14:paraId="3DCC6C88" w14:textId="5C3FAEBA" w:rsidR="00DF7EC2" w:rsidRPr="003A7F8A" w:rsidRDefault="00DF7EC2" w:rsidP="000A7CE0">
            <w:pPr>
              <w:widowControl w:val="0"/>
              <w:autoSpaceDE w:val="0"/>
              <w:autoSpaceDN w:val="0"/>
              <w:adjustRightInd w:val="0"/>
              <w:rPr>
                <w:rFonts w:ascii="Arial" w:hAnsi="Arial" w:cs="Arial"/>
                <w:sz w:val="20"/>
                <w:szCs w:val="20"/>
              </w:rPr>
            </w:pPr>
            <w:r w:rsidRPr="003A7F8A">
              <w:rPr>
                <w:rFonts w:ascii="Arial" w:hAnsi="Arial" w:cs="Arial"/>
                <w:sz w:val="20"/>
                <w:szCs w:val="20"/>
              </w:rPr>
              <w:t>Rate of exploitation</w:t>
            </w:r>
            <w:r w:rsidR="00935C69">
              <w:rPr>
                <w:rFonts w:ascii="Arial" w:hAnsi="Arial" w:cs="Arial"/>
                <w:sz w:val="20"/>
                <w:szCs w:val="20"/>
              </w:rPr>
              <w:t xml:space="preserve"> (1)</w:t>
            </w:r>
          </w:p>
        </w:tc>
        <w:tc>
          <w:tcPr>
            <w:tcW w:w="2260" w:type="dxa"/>
            <w:tcBorders>
              <w:top w:val="single" w:sz="8" w:space="0" w:color="000000"/>
              <w:bottom w:val="single" w:sz="8" w:space="0" w:color="000000"/>
              <w:right w:val="single" w:sz="8" w:space="0" w:color="000000"/>
            </w:tcBorders>
            <w:tcMar>
              <w:top w:w="140" w:type="nil"/>
              <w:right w:w="140" w:type="nil"/>
            </w:tcMar>
          </w:tcPr>
          <w:p w14:paraId="666C773E" w14:textId="121F09B6" w:rsidR="00DF7EC2" w:rsidRPr="003A7F8A" w:rsidRDefault="00DF7EC2" w:rsidP="000A7CE0">
            <w:pPr>
              <w:widowControl w:val="0"/>
              <w:autoSpaceDE w:val="0"/>
              <w:autoSpaceDN w:val="0"/>
              <w:adjustRightInd w:val="0"/>
              <w:rPr>
                <w:rFonts w:ascii="Arial" w:hAnsi="Arial" w:cs="Arial"/>
                <w:sz w:val="20"/>
                <w:szCs w:val="20"/>
              </w:rPr>
            </w:pPr>
            <w:r w:rsidRPr="003A7F8A">
              <w:rPr>
                <w:rFonts w:ascii="Arial" w:hAnsi="Arial" w:cs="Arial"/>
                <w:sz w:val="20"/>
                <w:szCs w:val="20"/>
              </w:rPr>
              <w:t>ARP</w:t>
            </w:r>
            <w:r w:rsidR="00935C69">
              <w:rPr>
                <w:rFonts w:ascii="Arial" w:hAnsi="Arial" w:cs="Arial"/>
                <w:sz w:val="20"/>
                <w:szCs w:val="20"/>
              </w:rPr>
              <w:t xml:space="preserve"> (2) </w:t>
            </w:r>
          </w:p>
        </w:tc>
        <w:tc>
          <w:tcPr>
            <w:tcW w:w="2320" w:type="dxa"/>
            <w:tcBorders>
              <w:top w:val="single" w:sz="8" w:space="0" w:color="000000"/>
              <w:bottom w:val="single" w:sz="8" w:space="0" w:color="000000"/>
              <w:right w:val="single" w:sz="8" w:space="0" w:color="000000"/>
            </w:tcBorders>
            <w:tcMar>
              <w:top w:w="140" w:type="nil"/>
              <w:right w:w="140" w:type="nil"/>
            </w:tcMar>
          </w:tcPr>
          <w:p w14:paraId="6A277D8E" w14:textId="4BC4536C" w:rsidR="00DF7EC2" w:rsidRPr="003A7F8A" w:rsidRDefault="00DF7EC2" w:rsidP="000A7CE0">
            <w:pPr>
              <w:widowControl w:val="0"/>
              <w:autoSpaceDE w:val="0"/>
              <w:autoSpaceDN w:val="0"/>
              <w:adjustRightInd w:val="0"/>
              <w:rPr>
                <w:rFonts w:ascii="Arial" w:hAnsi="Arial" w:cs="Arial"/>
                <w:sz w:val="20"/>
                <w:szCs w:val="20"/>
              </w:rPr>
            </w:pPr>
            <w:r w:rsidRPr="003A7F8A">
              <w:rPr>
                <w:rFonts w:ascii="Arial" w:hAnsi="Arial" w:cs="Arial"/>
                <w:sz w:val="20"/>
                <w:szCs w:val="20"/>
              </w:rPr>
              <w:t>Wage share</w:t>
            </w:r>
            <w:r w:rsidR="00935C69">
              <w:rPr>
                <w:rFonts w:ascii="Arial" w:hAnsi="Arial" w:cs="Arial"/>
                <w:sz w:val="20"/>
                <w:szCs w:val="20"/>
              </w:rPr>
              <w:t xml:space="preserve"> (3)</w:t>
            </w:r>
          </w:p>
        </w:tc>
      </w:tr>
      <w:tr w:rsidR="00DF7EC2" w:rsidRPr="003A7F8A" w14:paraId="70226692" w14:textId="77777777" w:rsidTr="000A7CE0">
        <w:tblPrEx>
          <w:tblBorders>
            <w:top w:val="none" w:sz="0" w:space="0" w:color="auto"/>
          </w:tblBorders>
        </w:tblPrEx>
        <w:tc>
          <w:tcPr>
            <w:tcW w:w="2240" w:type="dxa"/>
            <w:tcBorders>
              <w:left w:val="single" w:sz="8" w:space="0" w:color="000000"/>
              <w:bottom w:val="single" w:sz="8" w:space="0" w:color="000000"/>
              <w:right w:val="single" w:sz="8" w:space="0" w:color="000000"/>
            </w:tcBorders>
            <w:tcMar>
              <w:top w:w="140" w:type="nil"/>
              <w:right w:w="140" w:type="nil"/>
            </w:tcMar>
          </w:tcPr>
          <w:p w14:paraId="5061C7D4" w14:textId="77777777" w:rsidR="00DF7EC2" w:rsidRPr="003A7F8A" w:rsidRDefault="00DF7EC2" w:rsidP="000A7CE0">
            <w:pPr>
              <w:widowControl w:val="0"/>
              <w:autoSpaceDE w:val="0"/>
              <w:autoSpaceDN w:val="0"/>
              <w:adjustRightInd w:val="0"/>
              <w:rPr>
                <w:rFonts w:ascii="Arial" w:hAnsi="Arial" w:cs="Arial"/>
                <w:sz w:val="20"/>
                <w:szCs w:val="20"/>
              </w:rPr>
            </w:pPr>
            <w:r w:rsidRPr="003A7F8A">
              <w:rPr>
                <w:rFonts w:ascii="Arial" w:hAnsi="Arial" w:cs="Arial"/>
                <w:sz w:val="20"/>
                <w:szCs w:val="20"/>
              </w:rPr>
              <w:t>1997</w:t>
            </w:r>
          </w:p>
        </w:tc>
        <w:tc>
          <w:tcPr>
            <w:tcW w:w="2480" w:type="dxa"/>
            <w:tcBorders>
              <w:bottom w:val="single" w:sz="8" w:space="0" w:color="000000"/>
              <w:right w:val="single" w:sz="8" w:space="0" w:color="000000"/>
            </w:tcBorders>
            <w:tcMar>
              <w:top w:w="140" w:type="nil"/>
              <w:right w:w="140" w:type="nil"/>
            </w:tcMar>
          </w:tcPr>
          <w:p w14:paraId="523C0221" w14:textId="77777777" w:rsidR="00DF7EC2" w:rsidRPr="003A7F8A" w:rsidRDefault="00DF7EC2" w:rsidP="000A7CE0">
            <w:pPr>
              <w:widowControl w:val="0"/>
              <w:autoSpaceDE w:val="0"/>
              <w:autoSpaceDN w:val="0"/>
              <w:adjustRightInd w:val="0"/>
              <w:rPr>
                <w:rFonts w:ascii="Arial" w:hAnsi="Arial" w:cs="Arial"/>
                <w:sz w:val="20"/>
                <w:szCs w:val="20"/>
              </w:rPr>
            </w:pPr>
            <w:r w:rsidRPr="003A7F8A">
              <w:rPr>
                <w:rFonts w:ascii="Arial" w:hAnsi="Arial" w:cs="Arial"/>
                <w:sz w:val="20"/>
                <w:szCs w:val="20"/>
              </w:rPr>
              <w:t>25.3%</w:t>
            </w:r>
          </w:p>
        </w:tc>
        <w:tc>
          <w:tcPr>
            <w:tcW w:w="2260" w:type="dxa"/>
            <w:tcBorders>
              <w:bottom w:val="single" w:sz="8" w:space="0" w:color="000000"/>
              <w:right w:val="single" w:sz="8" w:space="0" w:color="000000"/>
            </w:tcBorders>
            <w:tcMar>
              <w:top w:w="140" w:type="nil"/>
              <w:right w:w="140" w:type="nil"/>
            </w:tcMar>
          </w:tcPr>
          <w:p w14:paraId="632A9E54" w14:textId="77777777" w:rsidR="00DF7EC2" w:rsidRPr="003A7F8A" w:rsidRDefault="00DF7EC2" w:rsidP="000A7CE0">
            <w:pPr>
              <w:widowControl w:val="0"/>
              <w:autoSpaceDE w:val="0"/>
              <w:autoSpaceDN w:val="0"/>
              <w:adjustRightInd w:val="0"/>
              <w:rPr>
                <w:rFonts w:ascii="Arial" w:hAnsi="Arial" w:cs="Arial"/>
                <w:sz w:val="20"/>
                <w:szCs w:val="20"/>
              </w:rPr>
            </w:pPr>
            <w:r w:rsidRPr="003A7F8A">
              <w:rPr>
                <w:rFonts w:ascii="Arial" w:hAnsi="Arial" w:cs="Arial"/>
                <w:sz w:val="20"/>
                <w:szCs w:val="20"/>
              </w:rPr>
              <w:t>9.2%</w:t>
            </w:r>
          </w:p>
        </w:tc>
        <w:tc>
          <w:tcPr>
            <w:tcW w:w="2320" w:type="dxa"/>
            <w:tcBorders>
              <w:bottom w:val="single" w:sz="8" w:space="0" w:color="000000"/>
              <w:right w:val="single" w:sz="8" w:space="0" w:color="000000"/>
            </w:tcBorders>
            <w:tcMar>
              <w:top w:w="140" w:type="nil"/>
              <w:right w:w="140" w:type="nil"/>
            </w:tcMar>
          </w:tcPr>
          <w:p w14:paraId="7508DD65" w14:textId="77777777" w:rsidR="00DF7EC2" w:rsidRPr="003A7F8A" w:rsidRDefault="00DF7EC2" w:rsidP="000A7CE0">
            <w:pPr>
              <w:widowControl w:val="0"/>
              <w:autoSpaceDE w:val="0"/>
              <w:autoSpaceDN w:val="0"/>
              <w:adjustRightInd w:val="0"/>
              <w:rPr>
                <w:rFonts w:ascii="Arial" w:hAnsi="Arial" w:cs="Arial"/>
                <w:sz w:val="20"/>
                <w:szCs w:val="20"/>
              </w:rPr>
            </w:pPr>
            <w:r w:rsidRPr="003A7F8A">
              <w:rPr>
                <w:rFonts w:ascii="Arial" w:hAnsi="Arial" w:cs="Arial"/>
                <w:sz w:val="20"/>
                <w:szCs w:val="20"/>
              </w:rPr>
              <w:t>33.3%</w:t>
            </w:r>
          </w:p>
        </w:tc>
      </w:tr>
      <w:tr w:rsidR="00DF7EC2" w:rsidRPr="003A7F8A" w14:paraId="4C522FBF" w14:textId="77777777" w:rsidTr="000A7CE0">
        <w:tblPrEx>
          <w:tblBorders>
            <w:top w:val="none" w:sz="0" w:space="0" w:color="auto"/>
          </w:tblBorders>
        </w:tblPrEx>
        <w:tc>
          <w:tcPr>
            <w:tcW w:w="2240" w:type="dxa"/>
            <w:tcBorders>
              <w:left w:val="single" w:sz="8" w:space="0" w:color="000000"/>
              <w:bottom w:val="single" w:sz="8" w:space="0" w:color="000000"/>
              <w:right w:val="single" w:sz="8" w:space="0" w:color="000000"/>
            </w:tcBorders>
            <w:tcMar>
              <w:top w:w="140" w:type="nil"/>
              <w:right w:w="140" w:type="nil"/>
            </w:tcMar>
          </w:tcPr>
          <w:p w14:paraId="72C5EB0B" w14:textId="77777777" w:rsidR="00DF7EC2" w:rsidRPr="003A7F8A" w:rsidRDefault="00DF7EC2" w:rsidP="000A7CE0">
            <w:pPr>
              <w:widowControl w:val="0"/>
              <w:autoSpaceDE w:val="0"/>
              <w:autoSpaceDN w:val="0"/>
              <w:adjustRightInd w:val="0"/>
              <w:rPr>
                <w:rFonts w:ascii="Arial" w:hAnsi="Arial" w:cs="Arial"/>
                <w:sz w:val="20"/>
                <w:szCs w:val="20"/>
              </w:rPr>
            </w:pPr>
            <w:r w:rsidRPr="003A7F8A">
              <w:rPr>
                <w:rFonts w:ascii="Arial" w:hAnsi="Arial" w:cs="Arial"/>
                <w:sz w:val="20"/>
                <w:szCs w:val="20"/>
              </w:rPr>
              <w:t>1998</w:t>
            </w:r>
          </w:p>
        </w:tc>
        <w:tc>
          <w:tcPr>
            <w:tcW w:w="2480" w:type="dxa"/>
            <w:tcBorders>
              <w:bottom w:val="single" w:sz="8" w:space="0" w:color="000000"/>
              <w:right w:val="single" w:sz="8" w:space="0" w:color="000000"/>
            </w:tcBorders>
            <w:tcMar>
              <w:top w:w="140" w:type="nil"/>
              <w:right w:w="140" w:type="nil"/>
            </w:tcMar>
          </w:tcPr>
          <w:p w14:paraId="2DD6F684" w14:textId="77777777" w:rsidR="00DF7EC2" w:rsidRPr="003A7F8A" w:rsidRDefault="00DF7EC2" w:rsidP="000A7CE0">
            <w:pPr>
              <w:widowControl w:val="0"/>
              <w:autoSpaceDE w:val="0"/>
              <w:autoSpaceDN w:val="0"/>
              <w:adjustRightInd w:val="0"/>
              <w:rPr>
                <w:rFonts w:ascii="Arial" w:hAnsi="Arial" w:cs="Arial"/>
                <w:sz w:val="20"/>
                <w:szCs w:val="20"/>
              </w:rPr>
            </w:pPr>
            <w:r w:rsidRPr="003A7F8A">
              <w:rPr>
                <w:rFonts w:ascii="Arial" w:hAnsi="Arial" w:cs="Arial"/>
                <w:sz w:val="20"/>
                <w:szCs w:val="20"/>
              </w:rPr>
              <w:t>18.2%</w:t>
            </w:r>
          </w:p>
        </w:tc>
        <w:tc>
          <w:tcPr>
            <w:tcW w:w="2260" w:type="dxa"/>
            <w:tcBorders>
              <w:bottom w:val="single" w:sz="8" w:space="0" w:color="000000"/>
              <w:right w:val="single" w:sz="8" w:space="0" w:color="000000"/>
            </w:tcBorders>
            <w:tcMar>
              <w:top w:w="140" w:type="nil"/>
              <w:right w:w="140" w:type="nil"/>
            </w:tcMar>
          </w:tcPr>
          <w:p w14:paraId="2ABBE0A0" w14:textId="77777777" w:rsidR="00DF7EC2" w:rsidRPr="003A7F8A" w:rsidRDefault="00DF7EC2" w:rsidP="000A7CE0">
            <w:pPr>
              <w:widowControl w:val="0"/>
              <w:autoSpaceDE w:val="0"/>
              <w:autoSpaceDN w:val="0"/>
              <w:adjustRightInd w:val="0"/>
              <w:rPr>
                <w:rFonts w:ascii="Arial" w:hAnsi="Arial" w:cs="Arial"/>
                <w:sz w:val="20"/>
                <w:szCs w:val="20"/>
              </w:rPr>
            </w:pPr>
            <w:r w:rsidRPr="003A7F8A">
              <w:rPr>
                <w:rFonts w:ascii="Arial" w:hAnsi="Arial" w:cs="Arial"/>
                <w:sz w:val="20"/>
                <w:szCs w:val="20"/>
              </w:rPr>
              <w:t>6.6%</w:t>
            </w:r>
          </w:p>
        </w:tc>
        <w:tc>
          <w:tcPr>
            <w:tcW w:w="2320" w:type="dxa"/>
            <w:tcBorders>
              <w:bottom w:val="single" w:sz="8" w:space="0" w:color="000000"/>
              <w:right w:val="single" w:sz="8" w:space="0" w:color="000000"/>
            </w:tcBorders>
            <w:tcMar>
              <w:top w:w="140" w:type="nil"/>
              <w:right w:w="140" w:type="nil"/>
            </w:tcMar>
          </w:tcPr>
          <w:p w14:paraId="04A51639" w14:textId="77777777" w:rsidR="00DF7EC2" w:rsidRPr="003A7F8A" w:rsidRDefault="00DF7EC2" w:rsidP="000A7CE0">
            <w:pPr>
              <w:widowControl w:val="0"/>
              <w:autoSpaceDE w:val="0"/>
              <w:autoSpaceDN w:val="0"/>
              <w:adjustRightInd w:val="0"/>
              <w:rPr>
                <w:rFonts w:ascii="Arial" w:hAnsi="Arial" w:cs="Arial"/>
                <w:sz w:val="20"/>
                <w:szCs w:val="20"/>
              </w:rPr>
            </w:pPr>
            <w:r w:rsidRPr="003A7F8A">
              <w:rPr>
                <w:rFonts w:ascii="Arial" w:hAnsi="Arial" w:cs="Arial"/>
                <w:sz w:val="20"/>
                <w:szCs w:val="20"/>
              </w:rPr>
              <w:t>34.1%</w:t>
            </w:r>
          </w:p>
        </w:tc>
      </w:tr>
      <w:tr w:rsidR="00DF7EC2" w:rsidRPr="003A7F8A" w14:paraId="4E52CE0C" w14:textId="77777777" w:rsidTr="000A7CE0">
        <w:tblPrEx>
          <w:tblBorders>
            <w:top w:val="none" w:sz="0" w:space="0" w:color="auto"/>
          </w:tblBorders>
        </w:tblPrEx>
        <w:tc>
          <w:tcPr>
            <w:tcW w:w="2240" w:type="dxa"/>
            <w:tcBorders>
              <w:left w:val="single" w:sz="8" w:space="0" w:color="000000"/>
              <w:bottom w:val="single" w:sz="8" w:space="0" w:color="000000"/>
              <w:right w:val="single" w:sz="8" w:space="0" w:color="000000"/>
            </w:tcBorders>
            <w:tcMar>
              <w:top w:w="140" w:type="nil"/>
              <w:right w:w="140" w:type="nil"/>
            </w:tcMar>
          </w:tcPr>
          <w:p w14:paraId="07FE7E38" w14:textId="77777777" w:rsidR="00DF7EC2" w:rsidRPr="003A7F8A" w:rsidRDefault="00DF7EC2" w:rsidP="000A7CE0">
            <w:pPr>
              <w:widowControl w:val="0"/>
              <w:autoSpaceDE w:val="0"/>
              <w:autoSpaceDN w:val="0"/>
              <w:adjustRightInd w:val="0"/>
              <w:rPr>
                <w:rFonts w:ascii="Arial" w:hAnsi="Arial" w:cs="Arial"/>
                <w:sz w:val="20"/>
                <w:szCs w:val="20"/>
              </w:rPr>
            </w:pPr>
            <w:r w:rsidRPr="003A7F8A">
              <w:rPr>
                <w:rFonts w:ascii="Arial" w:hAnsi="Arial" w:cs="Arial"/>
                <w:sz w:val="20"/>
                <w:szCs w:val="20"/>
              </w:rPr>
              <w:t>1999</w:t>
            </w:r>
          </w:p>
        </w:tc>
        <w:tc>
          <w:tcPr>
            <w:tcW w:w="2480" w:type="dxa"/>
            <w:tcBorders>
              <w:bottom w:val="single" w:sz="8" w:space="0" w:color="000000"/>
              <w:right w:val="single" w:sz="8" w:space="0" w:color="000000"/>
            </w:tcBorders>
            <w:tcMar>
              <w:top w:w="140" w:type="nil"/>
              <w:right w:w="140" w:type="nil"/>
            </w:tcMar>
          </w:tcPr>
          <w:p w14:paraId="493CD6ED" w14:textId="77777777" w:rsidR="00DF7EC2" w:rsidRPr="003A7F8A" w:rsidRDefault="00DF7EC2" w:rsidP="000A7CE0">
            <w:pPr>
              <w:widowControl w:val="0"/>
              <w:autoSpaceDE w:val="0"/>
              <w:autoSpaceDN w:val="0"/>
              <w:adjustRightInd w:val="0"/>
              <w:rPr>
                <w:rFonts w:ascii="Arial" w:hAnsi="Arial" w:cs="Arial"/>
                <w:sz w:val="20"/>
                <w:szCs w:val="20"/>
              </w:rPr>
            </w:pPr>
            <w:r w:rsidRPr="003A7F8A">
              <w:rPr>
                <w:rFonts w:ascii="Arial" w:hAnsi="Arial" w:cs="Arial"/>
                <w:sz w:val="20"/>
                <w:szCs w:val="20"/>
              </w:rPr>
              <w:t>17.9%</w:t>
            </w:r>
          </w:p>
        </w:tc>
        <w:tc>
          <w:tcPr>
            <w:tcW w:w="2260" w:type="dxa"/>
            <w:tcBorders>
              <w:bottom w:val="single" w:sz="8" w:space="0" w:color="000000"/>
              <w:right w:val="single" w:sz="8" w:space="0" w:color="000000"/>
            </w:tcBorders>
            <w:tcMar>
              <w:top w:w="140" w:type="nil"/>
              <w:right w:w="140" w:type="nil"/>
            </w:tcMar>
          </w:tcPr>
          <w:p w14:paraId="3E0E1EDC" w14:textId="77777777" w:rsidR="00DF7EC2" w:rsidRPr="003A7F8A" w:rsidRDefault="00DF7EC2" w:rsidP="000A7CE0">
            <w:pPr>
              <w:widowControl w:val="0"/>
              <w:autoSpaceDE w:val="0"/>
              <w:autoSpaceDN w:val="0"/>
              <w:adjustRightInd w:val="0"/>
              <w:rPr>
                <w:rFonts w:ascii="Arial" w:hAnsi="Arial" w:cs="Arial"/>
                <w:sz w:val="20"/>
                <w:szCs w:val="20"/>
              </w:rPr>
            </w:pPr>
            <w:r w:rsidRPr="003A7F8A">
              <w:rPr>
                <w:rFonts w:ascii="Arial" w:hAnsi="Arial" w:cs="Arial"/>
                <w:sz w:val="20"/>
                <w:szCs w:val="20"/>
              </w:rPr>
              <w:t>6.5%</w:t>
            </w:r>
          </w:p>
        </w:tc>
        <w:tc>
          <w:tcPr>
            <w:tcW w:w="2320" w:type="dxa"/>
            <w:tcBorders>
              <w:bottom w:val="single" w:sz="8" w:space="0" w:color="000000"/>
              <w:right w:val="single" w:sz="8" w:space="0" w:color="000000"/>
            </w:tcBorders>
            <w:tcMar>
              <w:top w:w="140" w:type="nil"/>
              <w:right w:w="140" w:type="nil"/>
            </w:tcMar>
          </w:tcPr>
          <w:p w14:paraId="3EC2B2D1" w14:textId="77777777" w:rsidR="00DF7EC2" w:rsidRPr="003A7F8A" w:rsidRDefault="00DF7EC2" w:rsidP="000A7CE0">
            <w:pPr>
              <w:widowControl w:val="0"/>
              <w:autoSpaceDE w:val="0"/>
              <w:autoSpaceDN w:val="0"/>
              <w:adjustRightInd w:val="0"/>
              <w:rPr>
                <w:rFonts w:ascii="Arial" w:hAnsi="Arial" w:cs="Arial"/>
                <w:sz w:val="20"/>
                <w:szCs w:val="20"/>
              </w:rPr>
            </w:pPr>
            <w:r w:rsidRPr="003A7F8A">
              <w:rPr>
                <w:rFonts w:ascii="Arial" w:hAnsi="Arial" w:cs="Arial"/>
                <w:sz w:val="20"/>
                <w:szCs w:val="20"/>
              </w:rPr>
              <w:t>33.9%</w:t>
            </w:r>
          </w:p>
        </w:tc>
      </w:tr>
      <w:tr w:rsidR="00DF7EC2" w:rsidRPr="003A7F8A" w14:paraId="231DBFF8" w14:textId="77777777" w:rsidTr="000A7CE0">
        <w:tblPrEx>
          <w:tblBorders>
            <w:top w:val="none" w:sz="0" w:space="0" w:color="auto"/>
          </w:tblBorders>
        </w:tblPrEx>
        <w:tc>
          <w:tcPr>
            <w:tcW w:w="2240" w:type="dxa"/>
            <w:tcBorders>
              <w:left w:val="single" w:sz="8" w:space="0" w:color="000000"/>
              <w:bottom w:val="single" w:sz="8" w:space="0" w:color="000000"/>
              <w:right w:val="single" w:sz="8" w:space="0" w:color="000000"/>
            </w:tcBorders>
            <w:tcMar>
              <w:top w:w="140" w:type="nil"/>
              <w:right w:w="140" w:type="nil"/>
            </w:tcMar>
          </w:tcPr>
          <w:p w14:paraId="59B77F32" w14:textId="77777777" w:rsidR="00DF7EC2" w:rsidRPr="003A7F8A" w:rsidRDefault="00DF7EC2" w:rsidP="000A7CE0">
            <w:pPr>
              <w:widowControl w:val="0"/>
              <w:autoSpaceDE w:val="0"/>
              <w:autoSpaceDN w:val="0"/>
              <w:adjustRightInd w:val="0"/>
              <w:rPr>
                <w:rFonts w:ascii="Arial" w:hAnsi="Arial" w:cs="Arial"/>
                <w:sz w:val="20"/>
                <w:szCs w:val="20"/>
              </w:rPr>
            </w:pPr>
            <w:r w:rsidRPr="003A7F8A">
              <w:rPr>
                <w:rFonts w:ascii="Arial" w:hAnsi="Arial" w:cs="Arial"/>
                <w:sz w:val="20"/>
                <w:szCs w:val="20"/>
              </w:rPr>
              <w:t>2000</w:t>
            </w:r>
          </w:p>
        </w:tc>
        <w:tc>
          <w:tcPr>
            <w:tcW w:w="2480" w:type="dxa"/>
            <w:tcBorders>
              <w:bottom w:val="single" w:sz="8" w:space="0" w:color="000000"/>
              <w:right w:val="single" w:sz="8" w:space="0" w:color="000000"/>
            </w:tcBorders>
            <w:tcMar>
              <w:top w:w="140" w:type="nil"/>
              <w:right w:w="140" w:type="nil"/>
            </w:tcMar>
          </w:tcPr>
          <w:p w14:paraId="6F977D06" w14:textId="77777777" w:rsidR="00DF7EC2" w:rsidRPr="003A7F8A" w:rsidRDefault="00DF7EC2" w:rsidP="000A7CE0">
            <w:pPr>
              <w:widowControl w:val="0"/>
              <w:autoSpaceDE w:val="0"/>
              <w:autoSpaceDN w:val="0"/>
              <w:adjustRightInd w:val="0"/>
              <w:rPr>
                <w:rFonts w:ascii="Arial" w:hAnsi="Arial" w:cs="Arial"/>
                <w:sz w:val="20"/>
                <w:szCs w:val="20"/>
              </w:rPr>
            </w:pPr>
            <w:r w:rsidRPr="003A7F8A">
              <w:rPr>
                <w:rFonts w:ascii="Arial" w:hAnsi="Arial" w:cs="Arial"/>
                <w:sz w:val="20"/>
                <w:szCs w:val="20"/>
              </w:rPr>
              <w:t>18.2%</w:t>
            </w:r>
          </w:p>
        </w:tc>
        <w:tc>
          <w:tcPr>
            <w:tcW w:w="2260" w:type="dxa"/>
            <w:tcBorders>
              <w:bottom w:val="single" w:sz="8" w:space="0" w:color="000000"/>
              <w:right w:val="single" w:sz="8" w:space="0" w:color="000000"/>
            </w:tcBorders>
            <w:tcMar>
              <w:top w:w="140" w:type="nil"/>
              <w:right w:w="140" w:type="nil"/>
            </w:tcMar>
          </w:tcPr>
          <w:p w14:paraId="21A4438C" w14:textId="77777777" w:rsidR="00DF7EC2" w:rsidRPr="003A7F8A" w:rsidRDefault="00DF7EC2" w:rsidP="000A7CE0">
            <w:pPr>
              <w:widowControl w:val="0"/>
              <w:autoSpaceDE w:val="0"/>
              <w:autoSpaceDN w:val="0"/>
              <w:adjustRightInd w:val="0"/>
              <w:rPr>
                <w:rFonts w:ascii="Arial" w:hAnsi="Arial" w:cs="Arial"/>
                <w:sz w:val="20"/>
                <w:szCs w:val="20"/>
              </w:rPr>
            </w:pPr>
            <w:r w:rsidRPr="003A7F8A">
              <w:rPr>
                <w:rFonts w:ascii="Arial" w:hAnsi="Arial" w:cs="Arial"/>
                <w:sz w:val="20"/>
                <w:szCs w:val="20"/>
              </w:rPr>
              <w:t>6.6%</w:t>
            </w:r>
          </w:p>
        </w:tc>
        <w:tc>
          <w:tcPr>
            <w:tcW w:w="2320" w:type="dxa"/>
            <w:tcBorders>
              <w:bottom w:val="single" w:sz="8" w:space="0" w:color="000000"/>
              <w:right w:val="single" w:sz="8" w:space="0" w:color="000000"/>
            </w:tcBorders>
            <w:tcMar>
              <w:top w:w="140" w:type="nil"/>
              <w:right w:w="140" w:type="nil"/>
            </w:tcMar>
          </w:tcPr>
          <w:p w14:paraId="35C008C8" w14:textId="77777777" w:rsidR="00DF7EC2" w:rsidRPr="003A7F8A" w:rsidRDefault="00DF7EC2" w:rsidP="000A7CE0">
            <w:pPr>
              <w:widowControl w:val="0"/>
              <w:autoSpaceDE w:val="0"/>
              <w:autoSpaceDN w:val="0"/>
              <w:adjustRightInd w:val="0"/>
              <w:rPr>
                <w:rFonts w:ascii="Arial" w:hAnsi="Arial" w:cs="Arial"/>
                <w:sz w:val="20"/>
                <w:szCs w:val="20"/>
              </w:rPr>
            </w:pPr>
            <w:r w:rsidRPr="003A7F8A">
              <w:rPr>
                <w:rFonts w:ascii="Arial" w:hAnsi="Arial" w:cs="Arial"/>
                <w:sz w:val="20"/>
                <w:szCs w:val="20"/>
              </w:rPr>
              <w:t>34.0%</w:t>
            </w:r>
          </w:p>
        </w:tc>
      </w:tr>
      <w:tr w:rsidR="00DF7EC2" w:rsidRPr="003A7F8A" w14:paraId="5B54D49E" w14:textId="77777777" w:rsidTr="000A7CE0">
        <w:tblPrEx>
          <w:tblBorders>
            <w:top w:val="none" w:sz="0" w:space="0" w:color="auto"/>
          </w:tblBorders>
        </w:tblPrEx>
        <w:tc>
          <w:tcPr>
            <w:tcW w:w="2240" w:type="dxa"/>
            <w:tcBorders>
              <w:left w:val="single" w:sz="8" w:space="0" w:color="000000"/>
              <w:bottom w:val="single" w:sz="8" w:space="0" w:color="000000"/>
              <w:right w:val="single" w:sz="8" w:space="0" w:color="000000"/>
            </w:tcBorders>
            <w:tcMar>
              <w:top w:w="140" w:type="nil"/>
              <w:right w:w="140" w:type="nil"/>
            </w:tcMar>
          </w:tcPr>
          <w:p w14:paraId="475A425E" w14:textId="77777777" w:rsidR="00DF7EC2" w:rsidRPr="003A7F8A" w:rsidRDefault="00DF7EC2" w:rsidP="000A7CE0">
            <w:pPr>
              <w:widowControl w:val="0"/>
              <w:autoSpaceDE w:val="0"/>
              <w:autoSpaceDN w:val="0"/>
              <w:adjustRightInd w:val="0"/>
              <w:rPr>
                <w:rFonts w:ascii="Arial" w:hAnsi="Arial" w:cs="Arial"/>
                <w:sz w:val="20"/>
                <w:szCs w:val="20"/>
              </w:rPr>
            </w:pPr>
            <w:r w:rsidRPr="003A7F8A">
              <w:rPr>
                <w:rFonts w:ascii="Arial" w:hAnsi="Arial" w:cs="Arial"/>
                <w:sz w:val="20"/>
                <w:szCs w:val="20"/>
              </w:rPr>
              <w:t>2001</w:t>
            </w:r>
          </w:p>
        </w:tc>
        <w:tc>
          <w:tcPr>
            <w:tcW w:w="2480" w:type="dxa"/>
            <w:tcBorders>
              <w:bottom w:val="single" w:sz="8" w:space="0" w:color="000000"/>
              <w:right w:val="single" w:sz="8" w:space="0" w:color="000000"/>
            </w:tcBorders>
            <w:tcMar>
              <w:top w:w="140" w:type="nil"/>
              <w:right w:w="140" w:type="nil"/>
            </w:tcMar>
          </w:tcPr>
          <w:p w14:paraId="6CB0EF9B" w14:textId="77777777" w:rsidR="00DF7EC2" w:rsidRPr="003A7F8A" w:rsidRDefault="00DF7EC2" w:rsidP="000A7CE0">
            <w:pPr>
              <w:widowControl w:val="0"/>
              <w:autoSpaceDE w:val="0"/>
              <w:autoSpaceDN w:val="0"/>
              <w:adjustRightInd w:val="0"/>
              <w:rPr>
                <w:rFonts w:ascii="Arial" w:hAnsi="Arial" w:cs="Arial"/>
                <w:sz w:val="20"/>
                <w:szCs w:val="20"/>
              </w:rPr>
            </w:pPr>
            <w:r w:rsidRPr="003A7F8A">
              <w:rPr>
                <w:rFonts w:ascii="Arial" w:hAnsi="Arial" w:cs="Arial"/>
                <w:sz w:val="20"/>
                <w:szCs w:val="20"/>
              </w:rPr>
              <w:t>10.3%</w:t>
            </w:r>
          </w:p>
        </w:tc>
        <w:tc>
          <w:tcPr>
            <w:tcW w:w="2260" w:type="dxa"/>
            <w:tcBorders>
              <w:bottom w:val="single" w:sz="8" w:space="0" w:color="000000"/>
              <w:right w:val="single" w:sz="8" w:space="0" w:color="000000"/>
            </w:tcBorders>
            <w:tcMar>
              <w:top w:w="140" w:type="nil"/>
              <w:right w:w="140" w:type="nil"/>
            </w:tcMar>
          </w:tcPr>
          <w:p w14:paraId="5AE4F6E2" w14:textId="77777777" w:rsidR="00DF7EC2" w:rsidRPr="003A7F8A" w:rsidRDefault="00DF7EC2" w:rsidP="000A7CE0">
            <w:pPr>
              <w:widowControl w:val="0"/>
              <w:autoSpaceDE w:val="0"/>
              <w:autoSpaceDN w:val="0"/>
              <w:adjustRightInd w:val="0"/>
              <w:rPr>
                <w:rFonts w:ascii="Arial" w:hAnsi="Arial" w:cs="Arial"/>
                <w:sz w:val="20"/>
                <w:szCs w:val="20"/>
              </w:rPr>
            </w:pPr>
            <w:r w:rsidRPr="003A7F8A">
              <w:rPr>
                <w:rFonts w:ascii="Arial" w:hAnsi="Arial" w:cs="Arial"/>
                <w:sz w:val="20"/>
                <w:szCs w:val="20"/>
              </w:rPr>
              <w:t>3.4%</w:t>
            </w:r>
          </w:p>
        </w:tc>
        <w:tc>
          <w:tcPr>
            <w:tcW w:w="2320" w:type="dxa"/>
            <w:tcBorders>
              <w:bottom w:val="single" w:sz="8" w:space="0" w:color="000000"/>
              <w:right w:val="single" w:sz="8" w:space="0" w:color="000000"/>
            </w:tcBorders>
            <w:tcMar>
              <w:top w:w="140" w:type="nil"/>
              <w:right w:w="140" w:type="nil"/>
            </w:tcMar>
          </w:tcPr>
          <w:p w14:paraId="1CE01365" w14:textId="77777777" w:rsidR="00DF7EC2" w:rsidRPr="003A7F8A" w:rsidRDefault="00DF7EC2" w:rsidP="000A7CE0">
            <w:pPr>
              <w:widowControl w:val="0"/>
              <w:autoSpaceDE w:val="0"/>
              <w:autoSpaceDN w:val="0"/>
              <w:adjustRightInd w:val="0"/>
              <w:rPr>
                <w:rFonts w:ascii="Arial" w:hAnsi="Arial" w:cs="Arial"/>
                <w:sz w:val="20"/>
                <w:szCs w:val="20"/>
              </w:rPr>
            </w:pPr>
            <w:r w:rsidRPr="003A7F8A">
              <w:rPr>
                <w:rFonts w:ascii="Arial" w:hAnsi="Arial" w:cs="Arial"/>
                <w:sz w:val="20"/>
                <w:szCs w:val="20"/>
              </w:rPr>
              <w:t>31.9%</w:t>
            </w:r>
          </w:p>
        </w:tc>
      </w:tr>
      <w:tr w:rsidR="00DF7EC2" w:rsidRPr="003A7F8A" w14:paraId="28FC7788" w14:textId="77777777" w:rsidTr="000A7CE0">
        <w:tc>
          <w:tcPr>
            <w:tcW w:w="2240" w:type="dxa"/>
            <w:tcBorders>
              <w:left w:val="single" w:sz="8" w:space="0" w:color="000000"/>
              <w:bottom w:val="single" w:sz="8" w:space="0" w:color="000000"/>
              <w:right w:val="single" w:sz="8" w:space="0" w:color="000000"/>
            </w:tcBorders>
            <w:tcMar>
              <w:top w:w="140" w:type="nil"/>
              <w:right w:w="140" w:type="nil"/>
            </w:tcMar>
          </w:tcPr>
          <w:p w14:paraId="606DA3D0" w14:textId="77777777" w:rsidR="00DF7EC2" w:rsidRPr="003A7F8A" w:rsidRDefault="00DF7EC2" w:rsidP="000A7CE0">
            <w:pPr>
              <w:widowControl w:val="0"/>
              <w:autoSpaceDE w:val="0"/>
              <w:autoSpaceDN w:val="0"/>
              <w:adjustRightInd w:val="0"/>
              <w:rPr>
                <w:rFonts w:ascii="Arial" w:hAnsi="Arial" w:cs="Arial"/>
                <w:sz w:val="20"/>
                <w:szCs w:val="20"/>
              </w:rPr>
            </w:pPr>
            <w:r w:rsidRPr="003A7F8A">
              <w:rPr>
                <w:rFonts w:ascii="Arial" w:hAnsi="Arial" w:cs="Arial"/>
                <w:sz w:val="20"/>
                <w:szCs w:val="20"/>
              </w:rPr>
              <w:t>2002</w:t>
            </w:r>
          </w:p>
        </w:tc>
        <w:tc>
          <w:tcPr>
            <w:tcW w:w="2480" w:type="dxa"/>
            <w:tcBorders>
              <w:bottom w:val="single" w:sz="8" w:space="0" w:color="000000"/>
              <w:right w:val="single" w:sz="8" w:space="0" w:color="000000"/>
            </w:tcBorders>
            <w:tcMar>
              <w:top w:w="140" w:type="nil"/>
              <w:right w:w="140" w:type="nil"/>
            </w:tcMar>
          </w:tcPr>
          <w:p w14:paraId="69324A69" w14:textId="77777777" w:rsidR="00DF7EC2" w:rsidRPr="003A7F8A" w:rsidRDefault="00DF7EC2" w:rsidP="000A7CE0">
            <w:pPr>
              <w:widowControl w:val="0"/>
              <w:autoSpaceDE w:val="0"/>
              <w:autoSpaceDN w:val="0"/>
              <w:adjustRightInd w:val="0"/>
              <w:rPr>
                <w:rFonts w:ascii="Arial" w:hAnsi="Arial" w:cs="Arial"/>
                <w:sz w:val="20"/>
                <w:szCs w:val="20"/>
              </w:rPr>
            </w:pPr>
            <w:r w:rsidRPr="003A7F8A">
              <w:rPr>
                <w:rFonts w:ascii="Arial" w:hAnsi="Arial" w:cs="Arial"/>
                <w:sz w:val="20"/>
                <w:szCs w:val="20"/>
              </w:rPr>
              <w:t>9.3%</w:t>
            </w:r>
          </w:p>
        </w:tc>
        <w:tc>
          <w:tcPr>
            <w:tcW w:w="2260" w:type="dxa"/>
            <w:tcBorders>
              <w:bottom w:val="single" w:sz="8" w:space="0" w:color="000000"/>
              <w:right w:val="single" w:sz="8" w:space="0" w:color="000000"/>
            </w:tcBorders>
            <w:tcMar>
              <w:top w:w="140" w:type="nil"/>
              <w:right w:w="140" w:type="nil"/>
            </w:tcMar>
          </w:tcPr>
          <w:p w14:paraId="495D94E8" w14:textId="77777777" w:rsidR="00DF7EC2" w:rsidRPr="003A7F8A" w:rsidRDefault="00DF7EC2" w:rsidP="000A7CE0">
            <w:pPr>
              <w:widowControl w:val="0"/>
              <w:autoSpaceDE w:val="0"/>
              <w:autoSpaceDN w:val="0"/>
              <w:adjustRightInd w:val="0"/>
              <w:rPr>
                <w:rFonts w:ascii="Arial" w:hAnsi="Arial" w:cs="Arial"/>
                <w:sz w:val="20"/>
                <w:szCs w:val="20"/>
              </w:rPr>
            </w:pPr>
            <w:r w:rsidRPr="003A7F8A">
              <w:rPr>
                <w:rFonts w:ascii="Arial" w:hAnsi="Arial" w:cs="Arial"/>
                <w:sz w:val="20"/>
                <w:szCs w:val="20"/>
              </w:rPr>
              <w:t>3.0%</w:t>
            </w:r>
          </w:p>
        </w:tc>
        <w:tc>
          <w:tcPr>
            <w:tcW w:w="2320" w:type="dxa"/>
            <w:tcBorders>
              <w:bottom w:val="single" w:sz="8" w:space="0" w:color="000000"/>
              <w:right w:val="single" w:sz="8" w:space="0" w:color="000000"/>
            </w:tcBorders>
            <w:tcMar>
              <w:top w:w="140" w:type="nil"/>
              <w:right w:w="140" w:type="nil"/>
            </w:tcMar>
          </w:tcPr>
          <w:p w14:paraId="26265E4D" w14:textId="77777777" w:rsidR="00DF7EC2" w:rsidRPr="003A7F8A" w:rsidRDefault="00DF7EC2" w:rsidP="000A7CE0">
            <w:pPr>
              <w:widowControl w:val="0"/>
              <w:autoSpaceDE w:val="0"/>
              <w:autoSpaceDN w:val="0"/>
              <w:adjustRightInd w:val="0"/>
              <w:rPr>
                <w:rFonts w:ascii="Arial" w:hAnsi="Arial" w:cs="Arial"/>
                <w:sz w:val="20"/>
                <w:szCs w:val="20"/>
              </w:rPr>
            </w:pPr>
            <w:r w:rsidRPr="003A7F8A">
              <w:rPr>
                <w:rFonts w:ascii="Arial" w:hAnsi="Arial" w:cs="Arial"/>
                <w:sz w:val="20"/>
                <w:szCs w:val="20"/>
              </w:rPr>
              <w:t>31.1%</w:t>
            </w:r>
          </w:p>
        </w:tc>
      </w:tr>
    </w:tbl>
    <w:p w14:paraId="788261C9" w14:textId="77777777" w:rsidR="00DF7EC2" w:rsidRPr="003A7F8A" w:rsidRDefault="00DF7EC2" w:rsidP="00DF7EC2">
      <w:pPr>
        <w:widowControl w:val="0"/>
        <w:autoSpaceDE w:val="0"/>
        <w:autoSpaceDN w:val="0"/>
        <w:adjustRightInd w:val="0"/>
        <w:rPr>
          <w:rFonts w:ascii="Cambria" w:hAnsi="Cambria" w:cs="Cambria"/>
          <w:sz w:val="22"/>
          <w:szCs w:val="22"/>
        </w:rPr>
      </w:pPr>
    </w:p>
    <w:p w14:paraId="3CEE63DD" w14:textId="17B92FB9" w:rsidR="00DF7EC2" w:rsidRPr="003A7F8A" w:rsidRDefault="00DF7EC2" w:rsidP="00DF7EC2">
      <w:pPr>
        <w:widowControl w:val="0"/>
        <w:autoSpaceDE w:val="0"/>
        <w:autoSpaceDN w:val="0"/>
        <w:adjustRightInd w:val="0"/>
        <w:rPr>
          <w:rFonts w:ascii="Cambria" w:hAnsi="Cambria" w:cs="Cambria"/>
          <w:sz w:val="22"/>
          <w:szCs w:val="22"/>
        </w:rPr>
      </w:pPr>
      <w:r w:rsidRPr="003A7F8A">
        <w:rPr>
          <w:rFonts w:ascii="Cambria" w:hAnsi="Cambria" w:cs="Cambria"/>
          <w:sz w:val="22"/>
          <w:szCs w:val="22"/>
        </w:rPr>
        <w:t>From 1997 to 2002, the rate of exploitation t</w:t>
      </w:r>
      <w:r w:rsidR="00935C69">
        <w:rPr>
          <w:rFonts w:ascii="Cambria" w:hAnsi="Cambria" w:cs="Cambria"/>
          <w:sz w:val="22"/>
          <w:szCs w:val="22"/>
        </w:rPr>
        <w:t xml:space="preserve">umbles down from 25.3% to 9.3% (column 1). </w:t>
      </w:r>
      <w:r w:rsidRPr="003A7F8A">
        <w:rPr>
          <w:rFonts w:ascii="Cambria" w:hAnsi="Cambria" w:cs="Cambria"/>
          <w:sz w:val="22"/>
          <w:szCs w:val="22"/>
        </w:rPr>
        <w:t xml:space="preserve">Consequently, on the one hand the </w:t>
      </w:r>
      <w:r w:rsidR="00031CBD">
        <w:rPr>
          <w:rFonts w:ascii="Cambria" w:hAnsi="Cambria" w:cs="Cambria"/>
          <w:sz w:val="22"/>
          <w:szCs w:val="22"/>
        </w:rPr>
        <w:t>ARP</w:t>
      </w:r>
      <w:r w:rsidRPr="003A7F8A">
        <w:rPr>
          <w:rFonts w:ascii="Cambria" w:hAnsi="Cambria" w:cs="Cambria"/>
          <w:sz w:val="22"/>
          <w:szCs w:val="22"/>
        </w:rPr>
        <w:t xml:space="preserve"> declines from 9.2% to 3.0% </w:t>
      </w:r>
      <w:r w:rsidR="00935C69">
        <w:rPr>
          <w:rFonts w:ascii="Cambria" w:hAnsi="Cambria" w:cs="Cambria"/>
          <w:sz w:val="22"/>
          <w:szCs w:val="22"/>
        </w:rPr>
        <w:t xml:space="preserve">(column 2) </w:t>
      </w:r>
      <w:r w:rsidRPr="003A7F8A">
        <w:rPr>
          <w:rFonts w:ascii="Cambria" w:hAnsi="Cambria" w:cs="Cambria"/>
          <w:sz w:val="22"/>
          <w:szCs w:val="22"/>
        </w:rPr>
        <w:t>and on the other the wag</w:t>
      </w:r>
      <w:r w:rsidR="00935C69">
        <w:rPr>
          <w:rFonts w:ascii="Cambria" w:hAnsi="Cambria" w:cs="Cambria"/>
          <w:sz w:val="22"/>
          <w:szCs w:val="22"/>
        </w:rPr>
        <w:t xml:space="preserve">e share </w:t>
      </w:r>
      <w:proofErr w:type="gramStart"/>
      <w:r w:rsidR="00935C69">
        <w:rPr>
          <w:rFonts w:ascii="Cambria" w:hAnsi="Cambria" w:cs="Cambria"/>
          <w:sz w:val="22"/>
          <w:szCs w:val="22"/>
        </w:rPr>
        <w:t>rises</w:t>
      </w:r>
      <w:proofErr w:type="gramEnd"/>
      <w:r w:rsidR="00935C69">
        <w:rPr>
          <w:rFonts w:ascii="Cambria" w:hAnsi="Cambria" w:cs="Cambria"/>
          <w:sz w:val="22"/>
          <w:szCs w:val="22"/>
        </w:rPr>
        <w:t xml:space="preserve"> from 33.3%</w:t>
      </w:r>
      <w:r w:rsidRPr="003A7F8A">
        <w:rPr>
          <w:rFonts w:ascii="Cambria" w:hAnsi="Cambria" w:cs="Cambria"/>
          <w:sz w:val="22"/>
          <w:szCs w:val="22"/>
        </w:rPr>
        <w:t xml:space="preserve"> to 34.0% in 2000 </w:t>
      </w:r>
      <w:r w:rsidR="00935C69">
        <w:rPr>
          <w:rFonts w:ascii="Cambria" w:hAnsi="Cambria" w:cs="Cambria"/>
          <w:sz w:val="22"/>
          <w:szCs w:val="22"/>
        </w:rPr>
        <w:t xml:space="preserve">(column 3) </w:t>
      </w:r>
      <w:r w:rsidRPr="003A7F8A">
        <w:rPr>
          <w:rFonts w:ascii="Cambria" w:hAnsi="Cambria" w:cs="Cambria"/>
          <w:sz w:val="22"/>
          <w:szCs w:val="22"/>
        </w:rPr>
        <w:t>(but then falls to 31.1% in 2002 due to the 2001-2002 crisis). In 2003 capital starts redre</w:t>
      </w:r>
      <w:r w:rsidR="00050DCE" w:rsidRPr="003A7F8A">
        <w:rPr>
          <w:rFonts w:ascii="Cambria" w:hAnsi="Cambria" w:cs="Cambria"/>
          <w:sz w:val="22"/>
          <w:szCs w:val="22"/>
        </w:rPr>
        <w:t>ssing the situation</w:t>
      </w:r>
      <w:r w:rsidRPr="003A7F8A">
        <w:rPr>
          <w:rFonts w:ascii="Cambria" w:hAnsi="Cambria" w:cs="Cambria"/>
          <w:sz w:val="22"/>
          <w:szCs w:val="22"/>
        </w:rPr>
        <w:t>. </w:t>
      </w:r>
    </w:p>
    <w:p w14:paraId="39AE3CFF" w14:textId="77777777" w:rsidR="00DF7EC2" w:rsidRPr="003A7F8A" w:rsidRDefault="00DF7EC2" w:rsidP="00DF7EC2">
      <w:pPr>
        <w:widowControl w:val="0"/>
        <w:autoSpaceDE w:val="0"/>
        <w:autoSpaceDN w:val="0"/>
        <w:adjustRightInd w:val="0"/>
        <w:rPr>
          <w:rFonts w:ascii="Cambria" w:hAnsi="Cambria" w:cs="Cambria"/>
          <w:sz w:val="22"/>
          <w:szCs w:val="22"/>
        </w:rPr>
      </w:pPr>
    </w:p>
    <w:p w14:paraId="6454C8EC" w14:textId="35068469" w:rsidR="00911E5B" w:rsidRDefault="008C084D" w:rsidP="00DF7EC2">
      <w:pPr>
        <w:rPr>
          <w:rFonts w:ascii="Cambria" w:hAnsi="Cambria" w:cs="Cambria"/>
          <w:sz w:val="22"/>
          <w:szCs w:val="22"/>
        </w:rPr>
      </w:pPr>
      <w:r>
        <w:rPr>
          <w:rFonts w:ascii="Cambria" w:hAnsi="Cambria" w:cs="Cambria"/>
          <w:sz w:val="22"/>
          <w:szCs w:val="22"/>
        </w:rPr>
        <w:t>A</w:t>
      </w:r>
      <w:r w:rsidR="00E84D69" w:rsidRPr="003A7F8A">
        <w:rPr>
          <w:rFonts w:ascii="Cambria" w:hAnsi="Cambria" w:cs="Cambria"/>
          <w:sz w:val="22"/>
          <w:szCs w:val="22"/>
        </w:rPr>
        <w:t>s a means to raising</w:t>
      </w:r>
      <w:r w:rsidR="00DF7EC2" w:rsidRPr="003A7F8A">
        <w:rPr>
          <w:rFonts w:ascii="Cambria" w:hAnsi="Cambria" w:cs="Cambria"/>
          <w:sz w:val="22"/>
          <w:szCs w:val="22"/>
        </w:rPr>
        <w:t xml:space="preserve"> profitability, from 2003 to 2006 capital raises the rate of surplus value, from 13.1</w:t>
      </w:r>
      <w:r w:rsidR="000167B6">
        <w:rPr>
          <w:rFonts w:ascii="Cambria" w:hAnsi="Cambria" w:cs="Cambria"/>
          <w:sz w:val="22"/>
          <w:szCs w:val="22"/>
        </w:rPr>
        <w:t>%</w:t>
      </w:r>
      <w:r w:rsidR="00DF7EC2" w:rsidRPr="003A7F8A">
        <w:rPr>
          <w:rFonts w:ascii="Cambria" w:hAnsi="Cambria" w:cs="Cambria"/>
          <w:sz w:val="22"/>
          <w:szCs w:val="22"/>
        </w:rPr>
        <w:t xml:space="preserve"> to 40.2%</w:t>
      </w:r>
      <w:r w:rsidR="00031CBD">
        <w:rPr>
          <w:rFonts w:ascii="Cambria" w:hAnsi="Cambria" w:cs="Cambria"/>
          <w:sz w:val="22"/>
          <w:szCs w:val="22"/>
        </w:rPr>
        <w:t xml:space="preserve"> (column 5, table 1</w:t>
      </w:r>
      <w:r w:rsidR="00055268">
        <w:rPr>
          <w:rFonts w:ascii="Cambria" w:hAnsi="Cambria" w:cs="Cambria"/>
          <w:sz w:val="22"/>
          <w:szCs w:val="22"/>
        </w:rPr>
        <w:t>)</w:t>
      </w:r>
      <w:r w:rsidR="00DF7EC2" w:rsidRPr="003A7F8A">
        <w:rPr>
          <w:rFonts w:ascii="Cambria" w:hAnsi="Cambria" w:cs="Cambria"/>
          <w:sz w:val="22"/>
          <w:szCs w:val="22"/>
        </w:rPr>
        <w:t xml:space="preserve">. Then, the ARP rises, from 4.1 to 13.1% </w:t>
      </w:r>
      <w:r w:rsidR="00031CBD">
        <w:rPr>
          <w:rFonts w:ascii="Cambria" w:hAnsi="Cambria" w:cs="Cambria"/>
          <w:sz w:val="22"/>
          <w:szCs w:val="22"/>
        </w:rPr>
        <w:t>(column 1, table 1</w:t>
      </w:r>
      <w:r w:rsidR="00055268">
        <w:rPr>
          <w:rFonts w:ascii="Cambria" w:hAnsi="Cambria" w:cs="Cambria"/>
          <w:sz w:val="22"/>
          <w:szCs w:val="22"/>
        </w:rPr>
        <w:t>)</w:t>
      </w:r>
      <w:r w:rsidR="00DF7EC2" w:rsidRPr="003A7F8A">
        <w:rPr>
          <w:rFonts w:ascii="Cambria" w:hAnsi="Cambria" w:cs="Cambria"/>
          <w:sz w:val="22"/>
          <w:szCs w:val="22"/>
        </w:rPr>
        <w:t xml:space="preserve">. </w:t>
      </w:r>
      <w:r w:rsidR="00DF7EC2" w:rsidRPr="001258B6">
        <w:rPr>
          <w:rFonts w:ascii="Cambria" w:hAnsi="Cambria" w:cs="Cambria"/>
          <w:sz w:val="22"/>
          <w:szCs w:val="22"/>
        </w:rPr>
        <w:t>But there is a catch.</w:t>
      </w:r>
      <w:r w:rsidR="00DF7EC2" w:rsidRPr="003A7F8A">
        <w:rPr>
          <w:rFonts w:ascii="Cambria" w:hAnsi="Cambria" w:cs="Cambria"/>
          <w:sz w:val="22"/>
          <w:szCs w:val="22"/>
        </w:rPr>
        <w:t xml:space="preserve"> The wage </w:t>
      </w:r>
      <w:r w:rsidR="00826A8E" w:rsidRPr="003A7F8A">
        <w:rPr>
          <w:rFonts w:ascii="Cambria" w:hAnsi="Cambria" w:cs="Cambria"/>
          <w:sz w:val="22"/>
          <w:szCs w:val="22"/>
        </w:rPr>
        <w:t>share, which</w:t>
      </w:r>
      <w:r w:rsidR="00826A8E">
        <w:rPr>
          <w:rFonts w:ascii="Cambria" w:hAnsi="Cambria" w:cs="Cambria"/>
          <w:sz w:val="22"/>
          <w:szCs w:val="22"/>
        </w:rPr>
        <w:t xml:space="preserve"> had fallen from 34% before the 2001-2002 crisis to 30.4% after the crisis, </w:t>
      </w:r>
      <w:r w:rsidR="00DF7EC2" w:rsidRPr="003A7F8A">
        <w:rPr>
          <w:rFonts w:ascii="Cambria" w:hAnsi="Cambria" w:cs="Cambria"/>
          <w:sz w:val="22"/>
          <w:szCs w:val="22"/>
        </w:rPr>
        <w:t xml:space="preserve">falls </w:t>
      </w:r>
      <w:r w:rsidR="00826A8E">
        <w:rPr>
          <w:rFonts w:ascii="Cambria" w:hAnsi="Cambria" w:cs="Cambria"/>
          <w:sz w:val="22"/>
          <w:szCs w:val="22"/>
        </w:rPr>
        <w:t xml:space="preserve">further </w:t>
      </w:r>
      <w:r w:rsidR="00DF7EC2" w:rsidRPr="003A7F8A">
        <w:rPr>
          <w:rFonts w:ascii="Cambria" w:hAnsi="Cambria" w:cs="Cambria"/>
          <w:sz w:val="22"/>
          <w:szCs w:val="22"/>
        </w:rPr>
        <w:t>to 28.8 %</w:t>
      </w:r>
      <w:r w:rsidR="00826A8E">
        <w:rPr>
          <w:rFonts w:ascii="Cambria" w:hAnsi="Cambria" w:cs="Cambria"/>
          <w:sz w:val="22"/>
          <w:szCs w:val="22"/>
        </w:rPr>
        <w:t xml:space="preserve"> right </w:t>
      </w:r>
      <w:r w:rsidR="007C2891">
        <w:rPr>
          <w:rFonts w:ascii="Cambria" w:hAnsi="Cambria" w:cs="Cambria"/>
          <w:sz w:val="22"/>
          <w:szCs w:val="22"/>
        </w:rPr>
        <w:t>before</w:t>
      </w:r>
      <w:r w:rsidR="00826A8E">
        <w:rPr>
          <w:rFonts w:ascii="Cambria" w:hAnsi="Cambria" w:cs="Cambria"/>
          <w:sz w:val="22"/>
          <w:szCs w:val="22"/>
        </w:rPr>
        <w:t xml:space="preserve"> the </w:t>
      </w:r>
      <w:r w:rsidR="00055268">
        <w:rPr>
          <w:rFonts w:ascii="Cambria" w:hAnsi="Cambria" w:cs="Cambria"/>
          <w:sz w:val="22"/>
          <w:szCs w:val="22"/>
        </w:rPr>
        <w:t>Great Depression</w:t>
      </w:r>
      <w:r w:rsidR="007C2891">
        <w:rPr>
          <w:rFonts w:ascii="Cambria" w:hAnsi="Cambria" w:cs="Cambria"/>
          <w:sz w:val="22"/>
          <w:szCs w:val="22"/>
        </w:rPr>
        <w:t>, a negative growth of 15.2% in 7 years</w:t>
      </w:r>
      <w:r w:rsidR="00DF7EC2" w:rsidRPr="003A7F8A">
        <w:rPr>
          <w:rFonts w:ascii="Cambria" w:hAnsi="Cambria" w:cs="Cambria"/>
          <w:sz w:val="22"/>
          <w:szCs w:val="22"/>
        </w:rPr>
        <w:t xml:space="preserve">. Due to the fall in labour’s </w:t>
      </w:r>
      <w:r w:rsidR="00DF7EC2" w:rsidRPr="00F27CBF">
        <w:rPr>
          <w:rFonts w:ascii="Cambria" w:hAnsi="Cambria" w:cs="Cambria"/>
          <w:sz w:val="22"/>
          <w:szCs w:val="22"/>
        </w:rPr>
        <w:t>absorption</w:t>
      </w:r>
      <w:r w:rsidR="00DF7EC2" w:rsidRPr="003A7F8A">
        <w:rPr>
          <w:rFonts w:ascii="Cambria" w:hAnsi="Cambria" w:cs="Cambria"/>
          <w:sz w:val="22"/>
          <w:szCs w:val="22"/>
        </w:rPr>
        <w:t xml:space="preserve"> capacity</w:t>
      </w:r>
      <w:r w:rsidR="00050DCE" w:rsidRPr="003A7F8A">
        <w:rPr>
          <w:rFonts w:ascii="Cambria" w:hAnsi="Cambria" w:cs="Cambria"/>
          <w:sz w:val="22"/>
          <w:szCs w:val="22"/>
        </w:rPr>
        <w:t xml:space="preserve"> in the productive sectors</w:t>
      </w:r>
      <w:r w:rsidR="00DF7EC2" w:rsidRPr="003A7F8A">
        <w:rPr>
          <w:rFonts w:ascii="Cambria" w:hAnsi="Cambria" w:cs="Cambria"/>
          <w:sz w:val="22"/>
          <w:szCs w:val="22"/>
        </w:rPr>
        <w:t xml:space="preserve">, capital migrates to the financial sphere </w:t>
      </w:r>
      <w:r w:rsidR="00DF7EC2" w:rsidRPr="00E52FEB">
        <w:rPr>
          <w:rFonts w:ascii="Cambria" w:hAnsi="Cambria" w:cs="Cambria"/>
          <w:i/>
          <w:sz w:val="22"/>
          <w:szCs w:val="22"/>
        </w:rPr>
        <w:t>in s</w:t>
      </w:r>
      <w:r w:rsidR="00050DCE" w:rsidRPr="00E52FEB">
        <w:rPr>
          <w:rFonts w:ascii="Cambria" w:hAnsi="Cambria" w:cs="Cambria"/>
          <w:i/>
          <w:sz w:val="22"/>
          <w:szCs w:val="22"/>
        </w:rPr>
        <w:t>p</w:t>
      </w:r>
      <w:r w:rsidR="00DF7EC2" w:rsidRPr="00E52FEB">
        <w:rPr>
          <w:rFonts w:ascii="Cambria" w:hAnsi="Cambria" w:cs="Cambria"/>
          <w:i/>
          <w:sz w:val="22"/>
          <w:szCs w:val="22"/>
        </w:rPr>
        <w:t xml:space="preserve">ite of </w:t>
      </w:r>
      <w:r w:rsidR="00050DCE" w:rsidRPr="00E52FEB">
        <w:rPr>
          <w:rFonts w:ascii="Cambria" w:hAnsi="Cambria" w:cs="Cambria"/>
          <w:i/>
          <w:sz w:val="22"/>
          <w:szCs w:val="22"/>
        </w:rPr>
        <w:t xml:space="preserve">rising profitability in </w:t>
      </w:r>
      <w:r w:rsidR="00E84D69" w:rsidRPr="00E52FEB">
        <w:rPr>
          <w:rFonts w:ascii="Cambria" w:hAnsi="Cambria" w:cs="Cambria"/>
          <w:i/>
          <w:sz w:val="22"/>
          <w:szCs w:val="22"/>
        </w:rPr>
        <w:t>the productive</w:t>
      </w:r>
      <w:r w:rsidR="00050DCE" w:rsidRPr="00E52FEB">
        <w:rPr>
          <w:rFonts w:ascii="Cambria" w:hAnsi="Cambria" w:cs="Cambria"/>
          <w:i/>
          <w:sz w:val="22"/>
          <w:szCs w:val="22"/>
        </w:rPr>
        <w:t xml:space="preserve"> </w:t>
      </w:r>
      <w:r w:rsidR="00DF7EC2" w:rsidRPr="00E52FEB">
        <w:rPr>
          <w:rFonts w:ascii="Cambria" w:hAnsi="Cambria" w:cs="Cambria"/>
          <w:i/>
          <w:sz w:val="22"/>
          <w:szCs w:val="22"/>
        </w:rPr>
        <w:t>sectors</w:t>
      </w:r>
      <w:r w:rsidR="00DF7EC2" w:rsidRPr="003A7F8A">
        <w:rPr>
          <w:rFonts w:ascii="Cambria" w:hAnsi="Cambria" w:cs="Cambria"/>
          <w:sz w:val="22"/>
          <w:szCs w:val="22"/>
        </w:rPr>
        <w:t xml:space="preserve">. </w:t>
      </w:r>
      <w:r w:rsidR="00911E5B">
        <w:rPr>
          <w:rFonts w:ascii="Cambria" w:hAnsi="Cambria" w:cs="Cambria"/>
          <w:sz w:val="22"/>
          <w:szCs w:val="22"/>
        </w:rPr>
        <w:t xml:space="preserve">From 2003 to 2005 the rate of growth of constant capital falls from 1.96% to 1.50%. It starts rising only in 2006. </w:t>
      </w:r>
      <w:r w:rsidR="00DF7EC2" w:rsidRPr="003A7F8A">
        <w:rPr>
          <w:rFonts w:ascii="Cambria" w:hAnsi="Cambria" w:cs="Cambria"/>
          <w:sz w:val="22"/>
          <w:szCs w:val="22"/>
        </w:rPr>
        <w:t>The influx of capital in</w:t>
      </w:r>
      <w:r w:rsidR="00055268">
        <w:rPr>
          <w:rFonts w:ascii="Cambria" w:hAnsi="Cambria" w:cs="Cambria"/>
          <w:sz w:val="22"/>
          <w:szCs w:val="22"/>
        </w:rPr>
        <w:t>to</w:t>
      </w:r>
      <w:r w:rsidR="00DF7EC2" w:rsidRPr="003A7F8A">
        <w:rPr>
          <w:rFonts w:ascii="Cambria" w:hAnsi="Cambria" w:cs="Cambria"/>
          <w:sz w:val="22"/>
          <w:szCs w:val="22"/>
        </w:rPr>
        <w:t xml:space="preserve"> the financial and speculative sectors </w:t>
      </w:r>
      <w:r w:rsidR="00050DCE" w:rsidRPr="003A7F8A">
        <w:rPr>
          <w:rFonts w:ascii="Cambria" w:hAnsi="Cambria" w:cs="Cambria"/>
          <w:sz w:val="22"/>
          <w:szCs w:val="22"/>
        </w:rPr>
        <w:t xml:space="preserve">inflates profits and eventually causes </w:t>
      </w:r>
      <w:r w:rsidR="00DF7EC2" w:rsidRPr="003A7F8A">
        <w:rPr>
          <w:rFonts w:ascii="Cambria" w:hAnsi="Cambria" w:cs="Cambria"/>
          <w:sz w:val="22"/>
          <w:szCs w:val="22"/>
        </w:rPr>
        <w:t xml:space="preserve">the financial bubble. </w:t>
      </w:r>
      <w:r w:rsidR="00E52FEB">
        <w:rPr>
          <w:rFonts w:ascii="Cambria" w:hAnsi="Cambria" w:cs="Cambria"/>
          <w:sz w:val="22"/>
          <w:szCs w:val="22"/>
        </w:rPr>
        <w:lastRenderedPageBreak/>
        <w:t xml:space="preserve">The </w:t>
      </w:r>
      <w:r w:rsidR="002421FF">
        <w:rPr>
          <w:rFonts w:ascii="Cambria" w:hAnsi="Cambria" w:cs="Cambria"/>
          <w:sz w:val="22"/>
          <w:szCs w:val="22"/>
        </w:rPr>
        <w:t xml:space="preserve">2007 </w:t>
      </w:r>
      <w:r w:rsidR="00E52FEB">
        <w:rPr>
          <w:rFonts w:ascii="Cambria" w:hAnsi="Cambria" w:cs="Cambria"/>
          <w:sz w:val="22"/>
          <w:szCs w:val="22"/>
        </w:rPr>
        <w:t xml:space="preserve">financial crisis </w:t>
      </w:r>
      <w:r w:rsidR="00E52FEB" w:rsidRPr="006079A8">
        <w:rPr>
          <w:rFonts w:ascii="Cambria" w:hAnsi="Cambria" w:cs="Cambria"/>
          <w:i/>
          <w:sz w:val="22"/>
          <w:szCs w:val="22"/>
        </w:rPr>
        <w:t xml:space="preserve">is </w:t>
      </w:r>
      <w:r w:rsidR="00E52FEB">
        <w:rPr>
          <w:rFonts w:ascii="Cambria" w:hAnsi="Cambria" w:cs="Cambria"/>
          <w:sz w:val="22"/>
          <w:szCs w:val="22"/>
        </w:rPr>
        <w:t xml:space="preserve">determined by </w:t>
      </w:r>
      <w:r w:rsidR="002421FF">
        <w:rPr>
          <w:rFonts w:ascii="Cambria" w:hAnsi="Cambria" w:cs="Cambria"/>
          <w:sz w:val="22"/>
          <w:szCs w:val="22"/>
        </w:rPr>
        <w:t>falling profitability</w:t>
      </w:r>
      <w:r w:rsidR="00911E5B">
        <w:rPr>
          <w:rFonts w:ascii="Cambria" w:hAnsi="Cambria" w:cs="Cambria"/>
          <w:sz w:val="22"/>
          <w:szCs w:val="22"/>
        </w:rPr>
        <w:t xml:space="preserve"> </w:t>
      </w:r>
      <w:r w:rsidR="00031CBD">
        <w:rPr>
          <w:rFonts w:ascii="Cambria" w:hAnsi="Cambria" w:cs="Cambria"/>
          <w:sz w:val="22"/>
          <w:szCs w:val="22"/>
        </w:rPr>
        <w:t xml:space="preserve">in 1997-2002 </w:t>
      </w:r>
      <w:r w:rsidR="00911E5B">
        <w:rPr>
          <w:rFonts w:ascii="Cambria" w:hAnsi="Cambria" w:cs="Cambria"/>
          <w:sz w:val="22"/>
          <w:szCs w:val="22"/>
        </w:rPr>
        <w:t xml:space="preserve">through </w:t>
      </w:r>
      <w:r w:rsidR="00031CBD">
        <w:rPr>
          <w:rFonts w:ascii="Cambria" w:hAnsi="Cambria" w:cs="Cambria"/>
          <w:sz w:val="22"/>
          <w:szCs w:val="22"/>
        </w:rPr>
        <w:t xml:space="preserve">the rise in the ARP as a consequence of the rise in the rate of exploitation, difficulties of realization </w:t>
      </w:r>
      <w:r w:rsidR="00911E5B">
        <w:rPr>
          <w:rFonts w:ascii="Cambria" w:hAnsi="Cambria" w:cs="Cambria"/>
          <w:sz w:val="22"/>
          <w:szCs w:val="22"/>
        </w:rPr>
        <w:t>and capital shifts to financial activities</w:t>
      </w:r>
      <w:r w:rsidR="002421FF">
        <w:rPr>
          <w:rFonts w:ascii="Cambria" w:hAnsi="Cambria" w:cs="Cambria"/>
          <w:sz w:val="22"/>
          <w:szCs w:val="22"/>
        </w:rPr>
        <w:t xml:space="preserve">. </w:t>
      </w:r>
      <w:r w:rsidR="00911E5B" w:rsidRPr="00F27CBF">
        <w:rPr>
          <w:rFonts w:ascii="Cambria" w:hAnsi="Cambria" w:cs="Cambria"/>
          <w:sz w:val="22"/>
          <w:szCs w:val="22"/>
        </w:rPr>
        <w:t>The new vogue amongst Marxists that the 2007-09 crisis is a financial crisis not determined by falling profitability is wrong.</w:t>
      </w:r>
    </w:p>
    <w:p w14:paraId="645B8D9E" w14:textId="77777777" w:rsidR="00E52FEB" w:rsidRDefault="00E52FEB" w:rsidP="00DF7EC2">
      <w:pPr>
        <w:rPr>
          <w:rFonts w:ascii="Cambria" w:hAnsi="Cambria" w:cs="Cambria"/>
          <w:sz w:val="22"/>
          <w:szCs w:val="22"/>
        </w:rPr>
      </w:pPr>
    </w:p>
    <w:p w14:paraId="564E943B" w14:textId="323EE3F3" w:rsidR="00BE162C" w:rsidRDefault="00DF7EC2" w:rsidP="00DF7EC2">
      <w:pPr>
        <w:rPr>
          <w:rFonts w:ascii="Cambria" w:hAnsi="Cambria" w:cs="Cambria"/>
          <w:sz w:val="22"/>
          <w:szCs w:val="22"/>
        </w:rPr>
      </w:pPr>
      <w:r w:rsidRPr="003A7F8A">
        <w:rPr>
          <w:rFonts w:ascii="Cambria" w:hAnsi="Cambria" w:cs="Cambria"/>
          <w:sz w:val="22"/>
          <w:szCs w:val="22"/>
        </w:rPr>
        <w:t xml:space="preserve">After 2006, </w:t>
      </w:r>
      <w:r w:rsidR="007C2891" w:rsidRPr="003A7F8A">
        <w:rPr>
          <w:rFonts w:ascii="Cambria" w:hAnsi="Cambria" w:cs="Cambria"/>
          <w:sz w:val="22"/>
          <w:szCs w:val="22"/>
        </w:rPr>
        <w:t>the OCC rises</w:t>
      </w:r>
      <w:r w:rsidR="007C2891">
        <w:rPr>
          <w:rFonts w:ascii="Cambria" w:hAnsi="Cambria" w:cs="Cambria"/>
          <w:sz w:val="22"/>
          <w:szCs w:val="22"/>
        </w:rPr>
        <w:t>,</w:t>
      </w:r>
      <w:r w:rsidR="007C2891" w:rsidRPr="003A7F8A">
        <w:rPr>
          <w:rFonts w:ascii="Cambria" w:hAnsi="Cambria" w:cs="Cambria"/>
          <w:sz w:val="22"/>
          <w:szCs w:val="22"/>
        </w:rPr>
        <w:t xml:space="preserve"> </w:t>
      </w:r>
      <w:r w:rsidR="00930FB2">
        <w:rPr>
          <w:rFonts w:ascii="Cambria" w:hAnsi="Cambria" w:cs="Cambria"/>
          <w:sz w:val="22"/>
          <w:szCs w:val="22"/>
        </w:rPr>
        <w:t xml:space="preserve">(table 2 column 1) </w:t>
      </w:r>
      <w:r w:rsidR="007C2891">
        <w:rPr>
          <w:rFonts w:ascii="Cambria" w:hAnsi="Cambria" w:cs="Cambria"/>
          <w:sz w:val="22"/>
          <w:szCs w:val="22"/>
        </w:rPr>
        <w:t xml:space="preserve">the </w:t>
      </w:r>
      <w:r w:rsidR="007C2891" w:rsidRPr="003A7F8A">
        <w:rPr>
          <w:rFonts w:ascii="Cambria" w:hAnsi="Cambria" w:cs="Cambria"/>
          <w:sz w:val="22"/>
          <w:szCs w:val="22"/>
        </w:rPr>
        <w:t>rate of exploitation falls</w:t>
      </w:r>
      <w:r w:rsidR="00930FB2">
        <w:rPr>
          <w:rFonts w:ascii="Cambria" w:hAnsi="Cambria" w:cs="Cambria"/>
          <w:sz w:val="22"/>
          <w:szCs w:val="22"/>
        </w:rPr>
        <w:t xml:space="preserve"> (column, table 2)</w:t>
      </w:r>
      <w:r w:rsidR="007C2891" w:rsidRPr="003A7F8A">
        <w:rPr>
          <w:rFonts w:ascii="Cambria" w:hAnsi="Cambria" w:cs="Cambria"/>
          <w:sz w:val="22"/>
          <w:szCs w:val="22"/>
        </w:rPr>
        <w:t xml:space="preserve"> and</w:t>
      </w:r>
      <w:r w:rsidR="007C2891">
        <w:rPr>
          <w:rFonts w:ascii="Cambria" w:hAnsi="Cambria" w:cs="Cambria"/>
          <w:sz w:val="22"/>
          <w:szCs w:val="22"/>
        </w:rPr>
        <w:t xml:space="preserve"> the </w:t>
      </w:r>
      <w:r w:rsidR="004718C3">
        <w:rPr>
          <w:rFonts w:ascii="Cambria" w:hAnsi="Cambria" w:cs="Cambria"/>
          <w:sz w:val="22"/>
          <w:szCs w:val="22"/>
        </w:rPr>
        <w:t>ROP</w:t>
      </w:r>
      <w:r w:rsidR="007C2891">
        <w:rPr>
          <w:rFonts w:ascii="Cambria" w:hAnsi="Cambria" w:cs="Cambria"/>
          <w:sz w:val="22"/>
          <w:szCs w:val="22"/>
        </w:rPr>
        <w:t xml:space="preserve"> falls on both accounts</w:t>
      </w:r>
      <w:r w:rsidR="00930FB2">
        <w:rPr>
          <w:rFonts w:ascii="Cambria" w:hAnsi="Cambria" w:cs="Cambria"/>
          <w:sz w:val="22"/>
          <w:szCs w:val="22"/>
        </w:rPr>
        <w:t xml:space="preserve"> (column 3, table 2)</w:t>
      </w:r>
      <w:r w:rsidR="007C2891">
        <w:rPr>
          <w:rFonts w:ascii="Cambria" w:hAnsi="Cambria" w:cs="Cambria"/>
          <w:sz w:val="22"/>
          <w:szCs w:val="22"/>
        </w:rPr>
        <w:t xml:space="preserve">. </w:t>
      </w:r>
      <w:r w:rsidR="006079A8">
        <w:rPr>
          <w:rFonts w:ascii="Cambria" w:hAnsi="Cambria" w:cs="Cambria"/>
          <w:sz w:val="22"/>
          <w:szCs w:val="22"/>
        </w:rPr>
        <w:t>At the same time, the wage share falls further to 24%</w:t>
      </w:r>
      <w:r w:rsidR="00930FB2">
        <w:rPr>
          <w:rFonts w:ascii="Cambria" w:hAnsi="Cambria" w:cs="Cambria"/>
          <w:sz w:val="22"/>
          <w:szCs w:val="22"/>
        </w:rPr>
        <w:t xml:space="preserve"> (column 5, table 2)</w:t>
      </w:r>
      <w:r w:rsidR="006079A8">
        <w:rPr>
          <w:rFonts w:ascii="Cambria" w:hAnsi="Cambria" w:cs="Cambria"/>
          <w:sz w:val="22"/>
          <w:szCs w:val="22"/>
        </w:rPr>
        <w:t xml:space="preserve">. These are the conditions for the next financial and profitability crisis. </w:t>
      </w:r>
    </w:p>
    <w:p w14:paraId="25F7965C" w14:textId="77777777" w:rsidR="006079A8" w:rsidRDefault="006079A8" w:rsidP="00E43D98">
      <w:pPr>
        <w:rPr>
          <w:rFonts w:ascii="Cambria" w:hAnsi="Cambria" w:cs="Cambria"/>
          <w:color w:val="FF0000"/>
          <w:sz w:val="22"/>
          <w:szCs w:val="22"/>
        </w:rPr>
      </w:pPr>
    </w:p>
    <w:p w14:paraId="54B6F5CC" w14:textId="1E4F1AF2" w:rsidR="00E43D98" w:rsidRPr="00F27CBF" w:rsidRDefault="000C1E8C" w:rsidP="00E43D98">
      <w:pPr>
        <w:rPr>
          <w:rFonts w:ascii="Cambria" w:hAnsi="Cambria" w:cs="Cambria"/>
          <w:sz w:val="22"/>
          <w:szCs w:val="22"/>
        </w:rPr>
      </w:pPr>
      <w:r w:rsidRPr="00F27CBF">
        <w:rPr>
          <w:rFonts w:ascii="Cambria" w:hAnsi="Cambria" w:cs="Cambria"/>
          <w:sz w:val="22"/>
          <w:szCs w:val="22"/>
        </w:rPr>
        <w:t xml:space="preserve">To </w:t>
      </w:r>
      <w:r w:rsidR="00E43D98" w:rsidRPr="00F27CBF">
        <w:rPr>
          <w:rFonts w:ascii="Cambria" w:hAnsi="Cambria" w:cs="Cambria"/>
          <w:sz w:val="22"/>
          <w:szCs w:val="22"/>
        </w:rPr>
        <w:t xml:space="preserve">sum up, </w:t>
      </w:r>
    </w:p>
    <w:p w14:paraId="35B8230C" w14:textId="77777777" w:rsidR="00DE5CB8" w:rsidRPr="00F27CBF" w:rsidRDefault="00DE5CB8" w:rsidP="00E43D98">
      <w:pPr>
        <w:rPr>
          <w:rFonts w:ascii="Cambria" w:hAnsi="Cambria" w:cs="Cambria"/>
          <w:sz w:val="22"/>
          <w:szCs w:val="22"/>
        </w:rPr>
      </w:pPr>
    </w:p>
    <w:p w14:paraId="6F8B0B50" w14:textId="06AAC63E" w:rsidR="007C2891" w:rsidRDefault="006079A8" w:rsidP="00415B90">
      <w:pPr>
        <w:rPr>
          <w:rFonts w:ascii="Cambria" w:hAnsi="Cambria" w:cs="Cambria"/>
          <w:sz w:val="22"/>
          <w:szCs w:val="22"/>
        </w:rPr>
      </w:pPr>
      <w:r>
        <w:rPr>
          <w:rFonts w:ascii="Cambria" w:hAnsi="Cambria" w:cs="Cambria"/>
          <w:sz w:val="22"/>
          <w:szCs w:val="22"/>
        </w:rPr>
        <w:t xml:space="preserve">(a) </w:t>
      </w:r>
      <w:proofErr w:type="gramStart"/>
      <w:r>
        <w:rPr>
          <w:rFonts w:ascii="Cambria" w:hAnsi="Cambria" w:cs="Cambria"/>
          <w:sz w:val="22"/>
          <w:szCs w:val="22"/>
        </w:rPr>
        <w:t>t</w:t>
      </w:r>
      <w:r w:rsidR="00055268" w:rsidRPr="00F27CBF">
        <w:rPr>
          <w:rFonts w:ascii="Cambria" w:hAnsi="Cambria" w:cs="Cambria"/>
          <w:sz w:val="22"/>
          <w:szCs w:val="22"/>
        </w:rPr>
        <w:t>he</w:t>
      </w:r>
      <w:proofErr w:type="gramEnd"/>
      <w:r w:rsidR="00055268" w:rsidRPr="00F27CBF">
        <w:rPr>
          <w:rFonts w:ascii="Cambria" w:hAnsi="Cambria" w:cs="Cambria"/>
          <w:sz w:val="22"/>
          <w:szCs w:val="22"/>
        </w:rPr>
        <w:t xml:space="preserve"> </w:t>
      </w:r>
      <w:r>
        <w:rPr>
          <w:rFonts w:ascii="Cambria" w:hAnsi="Cambria" w:cs="Cambria"/>
          <w:sz w:val="22"/>
          <w:szCs w:val="22"/>
        </w:rPr>
        <w:t xml:space="preserve">2007 </w:t>
      </w:r>
      <w:r w:rsidRPr="006079A8">
        <w:rPr>
          <w:rFonts w:ascii="Cambria" w:hAnsi="Cambria" w:cs="Cambria"/>
          <w:i/>
          <w:sz w:val="22"/>
          <w:szCs w:val="22"/>
        </w:rPr>
        <w:t>profitability</w:t>
      </w:r>
      <w:r>
        <w:rPr>
          <w:rFonts w:ascii="Cambria" w:hAnsi="Cambria" w:cs="Cambria"/>
          <w:sz w:val="22"/>
          <w:szCs w:val="22"/>
        </w:rPr>
        <w:t xml:space="preserve"> </w:t>
      </w:r>
      <w:r w:rsidR="00055268" w:rsidRPr="00F27CBF">
        <w:rPr>
          <w:rFonts w:ascii="Cambria" w:hAnsi="Cambria" w:cs="Cambria"/>
          <w:sz w:val="22"/>
          <w:szCs w:val="22"/>
        </w:rPr>
        <w:t>crisis</w:t>
      </w:r>
      <w:r>
        <w:rPr>
          <w:rFonts w:ascii="Cambria" w:hAnsi="Cambria" w:cs="Cambria"/>
          <w:sz w:val="22"/>
          <w:szCs w:val="22"/>
        </w:rPr>
        <w:t xml:space="preserve"> is </w:t>
      </w:r>
      <w:r w:rsidRPr="006079A8">
        <w:rPr>
          <w:rFonts w:ascii="Cambria" w:hAnsi="Cambria" w:cs="Cambria"/>
          <w:i/>
          <w:sz w:val="22"/>
          <w:szCs w:val="22"/>
        </w:rPr>
        <w:t>determined</w:t>
      </w:r>
      <w:r>
        <w:rPr>
          <w:rFonts w:ascii="Cambria" w:hAnsi="Cambria" w:cs="Cambria"/>
          <w:sz w:val="22"/>
          <w:szCs w:val="22"/>
        </w:rPr>
        <w:t xml:space="preserve"> by and </w:t>
      </w:r>
      <w:r w:rsidRPr="006079A8">
        <w:rPr>
          <w:rFonts w:ascii="Cambria" w:hAnsi="Cambria" w:cs="Cambria"/>
          <w:i/>
          <w:sz w:val="22"/>
          <w:szCs w:val="22"/>
        </w:rPr>
        <w:t>starts</w:t>
      </w:r>
      <w:r>
        <w:rPr>
          <w:rFonts w:ascii="Cambria" w:hAnsi="Cambria" w:cs="Cambria"/>
          <w:sz w:val="22"/>
          <w:szCs w:val="22"/>
        </w:rPr>
        <w:t xml:space="preserve"> with</w:t>
      </w:r>
      <w:r w:rsidR="00055268" w:rsidRPr="00F27CBF">
        <w:rPr>
          <w:rFonts w:ascii="Cambria" w:hAnsi="Cambria" w:cs="Cambria"/>
          <w:sz w:val="22"/>
          <w:szCs w:val="22"/>
        </w:rPr>
        <w:t xml:space="preserve"> </w:t>
      </w:r>
      <w:r w:rsidRPr="00F27CBF">
        <w:rPr>
          <w:rFonts w:ascii="Cambria" w:hAnsi="Cambria" w:cs="Cambria"/>
          <w:sz w:val="22"/>
          <w:szCs w:val="22"/>
        </w:rPr>
        <w:t xml:space="preserve">the </w:t>
      </w:r>
      <w:r>
        <w:rPr>
          <w:rFonts w:ascii="Cambria" w:hAnsi="Cambria" w:cs="Cambria"/>
          <w:sz w:val="22"/>
          <w:szCs w:val="22"/>
        </w:rPr>
        <w:t>rise</w:t>
      </w:r>
      <w:r w:rsidRPr="00F27CBF">
        <w:rPr>
          <w:rFonts w:ascii="Cambria" w:hAnsi="Cambria" w:cs="Cambria"/>
          <w:sz w:val="22"/>
          <w:szCs w:val="22"/>
        </w:rPr>
        <w:t xml:space="preserve"> in the OCC</w:t>
      </w:r>
      <w:r>
        <w:rPr>
          <w:rFonts w:ascii="Cambria" w:hAnsi="Cambria" w:cs="Cambria"/>
          <w:sz w:val="22"/>
          <w:szCs w:val="22"/>
        </w:rPr>
        <w:t xml:space="preserve">. </w:t>
      </w:r>
      <w:r w:rsidR="003E7F26" w:rsidRPr="00F27CBF">
        <w:rPr>
          <w:rFonts w:ascii="Cambria" w:hAnsi="Cambria" w:cs="Cambria"/>
          <w:sz w:val="22"/>
          <w:szCs w:val="22"/>
        </w:rPr>
        <w:t>It</w:t>
      </w:r>
      <w:r w:rsidR="00DE5CB8" w:rsidRPr="00F27CBF">
        <w:rPr>
          <w:rFonts w:ascii="Cambria" w:hAnsi="Cambria" w:cs="Cambria"/>
          <w:sz w:val="22"/>
          <w:szCs w:val="22"/>
        </w:rPr>
        <w:t xml:space="preserve"> </w:t>
      </w:r>
      <w:r w:rsidRPr="006079A8">
        <w:rPr>
          <w:rFonts w:ascii="Cambria" w:hAnsi="Cambria" w:cs="Cambria"/>
          <w:sz w:val="22"/>
          <w:szCs w:val="22"/>
        </w:rPr>
        <w:t>is</w:t>
      </w:r>
      <w:r w:rsidR="00DE5CB8" w:rsidRPr="006079A8">
        <w:rPr>
          <w:rFonts w:ascii="Cambria" w:hAnsi="Cambria" w:cs="Cambria"/>
          <w:sz w:val="22"/>
          <w:szCs w:val="22"/>
        </w:rPr>
        <w:t xml:space="preserve"> </w:t>
      </w:r>
      <w:r w:rsidR="00980A9D" w:rsidRPr="00F27CBF">
        <w:rPr>
          <w:rFonts w:ascii="Cambria" w:hAnsi="Cambria" w:cs="Cambria"/>
          <w:i/>
          <w:sz w:val="22"/>
          <w:szCs w:val="22"/>
        </w:rPr>
        <w:t>preceded</w:t>
      </w:r>
      <w:r w:rsidR="00930FB2">
        <w:rPr>
          <w:rFonts w:ascii="Cambria" w:hAnsi="Cambria" w:cs="Cambria"/>
          <w:sz w:val="22"/>
          <w:szCs w:val="22"/>
        </w:rPr>
        <w:t xml:space="preserve"> by a fall in employment</w:t>
      </w:r>
      <w:proofErr w:type="gramStart"/>
      <w:r w:rsidR="00930FB2">
        <w:rPr>
          <w:rFonts w:ascii="Cambria" w:hAnsi="Cambria" w:cs="Cambria"/>
          <w:sz w:val="22"/>
          <w:szCs w:val="22"/>
        </w:rPr>
        <w:t>;</w:t>
      </w:r>
      <w:proofErr w:type="gramEnd"/>
    </w:p>
    <w:p w14:paraId="295BFD32" w14:textId="77777777" w:rsidR="006079A8" w:rsidRPr="00F27CBF" w:rsidRDefault="006079A8" w:rsidP="00415B90">
      <w:pPr>
        <w:rPr>
          <w:rFonts w:ascii="Cambria" w:hAnsi="Cambria" w:cs="Cambria"/>
          <w:sz w:val="22"/>
          <w:szCs w:val="22"/>
        </w:rPr>
      </w:pPr>
    </w:p>
    <w:p w14:paraId="06F4D8C7" w14:textId="2B2E8516" w:rsidR="004E1178" w:rsidRDefault="006079A8" w:rsidP="006079A8">
      <w:pPr>
        <w:rPr>
          <w:rFonts w:ascii="Cambria" w:hAnsi="Cambria" w:cs="Cambria"/>
          <w:sz w:val="22"/>
          <w:szCs w:val="22"/>
        </w:rPr>
      </w:pPr>
      <w:r>
        <w:rPr>
          <w:rFonts w:ascii="Cambria" w:hAnsi="Cambria" w:cs="Cambria"/>
          <w:sz w:val="22"/>
          <w:szCs w:val="22"/>
        </w:rPr>
        <w:t xml:space="preserve">(b) </w:t>
      </w:r>
      <w:proofErr w:type="gramStart"/>
      <w:r>
        <w:rPr>
          <w:rFonts w:ascii="Cambria" w:hAnsi="Cambria" w:cs="Cambria"/>
          <w:sz w:val="22"/>
          <w:szCs w:val="22"/>
        </w:rPr>
        <w:t>the</w:t>
      </w:r>
      <w:proofErr w:type="gramEnd"/>
      <w:r>
        <w:rPr>
          <w:rFonts w:ascii="Cambria" w:hAnsi="Cambria" w:cs="Cambria"/>
          <w:sz w:val="22"/>
          <w:szCs w:val="22"/>
        </w:rPr>
        <w:t xml:space="preserve"> 2007 </w:t>
      </w:r>
      <w:r w:rsidRPr="006079A8">
        <w:rPr>
          <w:rFonts w:ascii="Cambria" w:hAnsi="Cambria" w:cs="Cambria"/>
          <w:i/>
          <w:sz w:val="22"/>
          <w:szCs w:val="22"/>
        </w:rPr>
        <w:t>financial</w:t>
      </w:r>
      <w:r>
        <w:rPr>
          <w:rFonts w:ascii="Cambria" w:hAnsi="Cambria" w:cs="Cambria"/>
          <w:sz w:val="22"/>
          <w:szCs w:val="22"/>
        </w:rPr>
        <w:t xml:space="preserve"> crisis is </w:t>
      </w:r>
      <w:r w:rsidR="007C2891" w:rsidRPr="00F27CBF">
        <w:rPr>
          <w:rFonts w:ascii="Cambria" w:hAnsi="Cambria" w:cs="Cambria"/>
          <w:i/>
          <w:sz w:val="22"/>
          <w:szCs w:val="22"/>
        </w:rPr>
        <w:t>determined</w:t>
      </w:r>
      <w:r w:rsidR="007C2891" w:rsidRPr="00F27CBF">
        <w:rPr>
          <w:rFonts w:ascii="Cambria" w:hAnsi="Cambria" w:cs="Cambria"/>
          <w:sz w:val="22"/>
          <w:szCs w:val="22"/>
        </w:rPr>
        <w:t xml:space="preserve"> by </w:t>
      </w:r>
      <w:r w:rsidR="00980A9D" w:rsidRPr="00F27CBF">
        <w:rPr>
          <w:rFonts w:ascii="Cambria" w:hAnsi="Cambria" w:cs="Cambria"/>
          <w:sz w:val="22"/>
          <w:szCs w:val="22"/>
        </w:rPr>
        <w:t>falling profitability</w:t>
      </w:r>
      <w:r w:rsidR="00930FB2">
        <w:rPr>
          <w:rFonts w:ascii="Cambria" w:hAnsi="Cambria" w:cs="Cambria"/>
          <w:sz w:val="22"/>
          <w:szCs w:val="22"/>
        </w:rPr>
        <w:t>. Specifically, t</w:t>
      </w:r>
      <w:r>
        <w:rPr>
          <w:rFonts w:ascii="Cambria" w:hAnsi="Cambria" w:cs="Cambria"/>
          <w:sz w:val="22"/>
          <w:szCs w:val="22"/>
        </w:rPr>
        <w:t xml:space="preserve">he 1997-2002 downward profitability </w:t>
      </w:r>
      <w:r w:rsidR="00872D36">
        <w:rPr>
          <w:rFonts w:ascii="Cambria" w:hAnsi="Cambria" w:cs="Cambria"/>
          <w:sz w:val="22"/>
          <w:szCs w:val="22"/>
        </w:rPr>
        <w:t xml:space="preserve">cycle </w:t>
      </w:r>
      <w:r w:rsidR="00872D36">
        <w:rPr>
          <w:rFonts w:ascii="Cambria" w:hAnsi="Cambria" w:cs="Cambria"/>
          <w:sz w:val="22"/>
          <w:szCs w:val="22"/>
        </w:rPr>
        <w:t>determines the realization difficulties in 2003-06</w:t>
      </w:r>
      <w:r w:rsidR="00930FB2">
        <w:rPr>
          <w:rFonts w:ascii="Cambria" w:hAnsi="Cambria" w:cs="Cambria"/>
          <w:sz w:val="22"/>
          <w:szCs w:val="22"/>
        </w:rPr>
        <w:t>. Capital moves to the financial sectors</w:t>
      </w:r>
      <w:r w:rsidR="00872D36">
        <w:rPr>
          <w:rFonts w:ascii="Cambria" w:hAnsi="Cambria" w:cs="Cambria"/>
          <w:sz w:val="22"/>
          <w:szCs w:val="22"/>
        </w:rPr>
        <w:t xml:space="preserve"> and </w:t>
      </w:r>
      <w:r w:rsidR="00930FB2">
        <w:rPr>
          <w:rFonts w:ascii="Cambria" w:hAnsi="Cambria" w:cs="Cambria"/>
          <w:sz w:val="22"/>
          <w:szCs w:val="22"/>
        </w:rPr>
        <w:t xml:space="preserve">the 1997-2002 fall in profitability </w:t>
      </w:r>
      <w:r>
        <w:rPr>
          <w:rFonts w:ascii="Cambria" w:hAnsi="Cambria" w:cs="Cambria"/>
          <w:sz w:val="22"/>
          <w:szCs w:val="22"/>
        </w:rPr>
        <w:t xml:space="preserve">emerges in 2007 as </w:t>
      </w:r>
      <w:r w:rsidR="00930FB2">
        <w:rPr>
          <w:rFonts w:ascii="Cambria" w:hAnsi="Cambria" w:cs="Cambria"/>
          <w:sz w:val="22"/>
          <w:szCs w:val="22"/>
        </w:rPr>
        <w:t>the</w:t>
      </w:r>
      <w:bookmarkStart w:id="0" w:name="_GoBack"/>
      <w:bookmarkEnd w:id="0"/>
      <w:r>
        <w:rPr>
          <w:rFonts w:ascii="Cambria" w:hAnsi="Cambria" w:cs="Cambria"/>
          <w:sz w:val="22"/>
          <w:szCs w:val="22"/>
        </w:rPr>
        <w:t xml:space="preserve"> financial crisis</w:t>
      </w:r>
      <w:r w:rsidR="00DE5CB8" w:rsidRPr="00F27CBF">
        <w:rPr>
          <w:rFonts w:ascii="Cambria" w:hAnsi="Cambria" w:cs="Cambria"/>
          <w:sz w:val="22"/>
          <w:szCs w:val="22"/>
        </w:rPr>
        <w:t xml:space="preserve">. </w:t>
      </w:r>
    </w:p>
    <w:p w14:paraId="605DE370" w14:textId="77777777" w:rsidR="006079A8" w:rsidRDefault="006079A8" w:rsidP="006079A8">
      <w:pPr>
        <w:rPr>
          <w:rFonts w:ascii="Cambria" w:hAnsi="Cambria" w:cs="Cambria"/>
          <w:color w:val="FF0000"/>
          <w:sz w:val="22"/>
          <w:szCs w:val="22"/>
        </w:rPr>
      </w:pPr>
    </w:p>
    <w:p w14:paraId="0A2CACA2" w14:textId="73D8BAB5" w:rsidR="00E74967" w:rsidRPr="001766B3" w:rsidRDefault="00E74967" w:rsidP="00E74967">
      <w:pPr>
        <w:widowControl w:val="0"/>
        <w:autoSpaceDE w:val="0"/>
        <w:autoSpaceDN w:val="0"/>
        <w:adjustRightInd w:val="0"/>
        <w:rPr>
          <w:rFonts w:ascii="Cambria" w:hAnsi="Cambria" w:cs="Cambria"/>
          <w:color w:val="262626"/>
          <w:sz w:val="22"/>
          <w:szCs w:val="22"/>
        </w:rPr>
      </w:pPr>
      <w:r w:rsidRPr="001766B3">
        <w:rPr>
          <w:rFonts w:ascii="Cambria" w:hAnsi="Cambria" w:cs="Cambria"/>
          <w:b/>
          <w:color w:val="262626"/>
          <w:sz w:val="22"/>
          <w:szCs w:val="22"/>
        </w:rPr>
        <w:t>Tenth critique</w:t>
      </w:r>
      <w:r w:rsidRPr="001766B3">
        <w:rPr>
          <w:rFonts w:ascii="Cambria" w:hAnsi="Cambria" w:cs="Cambria"/>
          <w:color w:val="262626"/>
          <w:sz w:val="22"/>
          <w:szCs w:val="22"/>
        </w:rPr>
        <w:t xml:space="preserve">. </w:t>
      </w:r>
      <w:r w:rsidRPr="007819ED">
        <w:rPr>
          <w:rFonts w:ascii="Cambria" w:hAnsi="Cambria" w:cs="Cambria"/>
          <w:iCs/>
          <w:color w:val="262626"/>
          <w:sz w:val="22"/>
          <w:szCs w:val="22"/>
        </w:rPr>
        <w:t>Each crisis is different because each crisis has a different cause</w:t>
      </w:r>
      <w:r w:rsidRPr="007819ED">
        <w:rPr>
          <w:rFonts w:ascii="Cambria" w:hAnsi="Cambria" w:cs="Cambria"/>
          <w:color w:val="262626"/>
          <w:sz w:val="22"/>
          <w:szCs w:val="22"/>
        </w:rPr>
        <w:t>.</w:t>
      </w:r>
      <w:r w:rsidRPr="001766B3">
        <w:rPr>
          <w:rFonts w:ascii="Cambria" w:hAnsi="Cambria" w:cs="Cambria"/>
          <w:color w:val="262626"/>
          <w:sz w:val="22"/>
          <w:szCs w:val="22"/>
        </w:rPr>
        <w:t xml:space="preserve"> It is held by </w:t>
      </w:r>
      <w:r w:rsidR="00B729C3">
        <w:rPr>
          <w:rFonts w:ascii="Cambria" w:hAnsi="Cambria" w:cs="Cambria"/>
          <w:color w:val="262626"/>
          <w:sz w:val="22"/>
          <w:szCs w:val="22"/>
        </w:rPr>
        <w:t>some Marxists that the L</w:t>
      </w:r>
      <w:r w:rsidR="00B729C3" w:rsidRPr="00F27CBF">
        <w:rPr>
          <w:rFonts w:ascii="Cambria" w:hAnsi="Cambria" w:cs="Cambria"/>
          <w:sz w:val="22"/>
          <w:szCs w:val="22"/>
        </w:rPr>
        <w:t xml:space="preserve">aw is </w:t>
      </w:r>
      <w:proofErr w:type="gramStart"/>
      <w:r w:rsidR="00B729C3" w:rsidRPr="00F27CBF">
        <w:rPr>
          <w:rFonts w:ascii="Cambria" w:hAnsi="Cambria" w:cs="Cambria"/>
          <w:sz w:val="22"/>
          <w:szCs w:val="22"/>
        </w:rPr>
        <w:t>a</w:t>
      </w:r>
      <w:proofErr w:type="gramEnd"/>
      <w:r w:rsidRPr="00F27CBF">
        <w:rPr>
          <w:rFonts w:ascii="Cambria" w:hAnsi="Cambria" w:cs="Cambria"/>
          <w:sz w:val="22"/>
          <w:szCs w:val="22"/>
        </w:rPr>
        <w:t xml:space="preserve"> ahistorical straightjacket or too simplistic. This view seems to have become a new vogue among Marxists. But</w:t>
      </w:r>
      <w:r w:rsidR="00DB0EA7" w:rsidRPr="00F27CBF">
        <w:rPr>
          <w:rFonts w:ascii="Cambria" w:hAnsi="Cambria" w:cs="Cambria"/>
          <w:sz w:val="22"/>
          <w:szCs w:val="22"/>
        </w:rPr>
        <w:t xml:space="preserve"> this is the question. </w:t>
      </w:r>
      <w:r w:rsidRPr="00F27CBF">
        <w:rPr>
          <w:rFonts w:ascii="Cambria" w:hAnsi="Cambria" w:cs="Cambria"/>
          <w:sz w:val="22"/>
          <w:szCs w:val="22"/>
        </w:rPr>
        <w:t xml:space="preserve"> </w:t>
      </w:r>
      <w:r w:rsidR="00F27CBF" w:rsidRPr="00F27CBF">
        <w:rPr>
          <w:rFonts w:ascii="Cambria" w:hAnsi="Cambria" w:cs="Cambria"/>
          <w:strike/>
          <w:sz w:val="22"/>
          <w:szCs w:val="22"/>
        </w:rPr>
        <w:t>I</w:t>
      </w:r>
      <w:r w:rsidRPr="00F27CBF">
        <w:rPr>
          <w:rFonts w:ascii="Cambria" w:hAnsi="Cambria" w:cs="Cambria"/>
          <w:sz w:val="22"/>
          <w:szCs w:val="22"/>
        </w:rPr>
        <w:t xml:space="preserve">f </w:t>
      </w:r>
      <w:r w:rsidR="00076D0F" w:rsidRPr="00F27CBF">
        <w:rPr>
          <w:rFonts w:ascii="Cambria" w:hAnsi="Cambria" w:cs="Cambria"/>
          <w:sz w:val="22"/>
          <w:szCs w:val="22"/>
        </w:rPr>
        <w:t xml:space="preserve">crises are recurrent and if different causes emerge recurrently, what is the causes this recurrence? This </w:t>
      </w:r>
      <w:r w:rsidR="00007AFD" w:rsidRPr="00F27CBF">
        <w:rPr>
          <w:rFonts w:ascii="Cambria" w:hAnsi="Cambria" w:cs="Cambria"/>
          <w:sz w:val="22"/>
          <w:szCs w:val="22"/>
        </w:rPr>
        <w:t>question</w:t>
      </w:r>
      <w:r w:rsidR="00076D0F" w:rsidRPr="00F27CBF">
        <w:rPr>
          <w:rFonts w:ascii="Cambria" w:hAnsi="Cambria" w:cs="Cambria"/>
          <w:sz w:val="22"/>
          <w:szCs w:val="22"/>
        </w:rPr>
        <w:t xml:space="preserve"> remains </w:t>
      </w:r>
      <w:r w:rsidR="00DB0EA7" w:rsidRPr="00F27CBF">
        <w:rPr>
          <w:rFonts w:ascii="Cambria" w:hAnsi="Cambria" w:cs="Cambria"/>
          <w:sz w:val="22"/>
          <w:szCs w:val="22"/>
        </w:rPr>
        <w:t xml:space="preserve">unasked, let alone </w:t>
      </w:r>
      <w:r w:rsidR="00076D0F" w:rsidRPr="00F27CBF">
        <w:rPr>
          <w:rFonts w:ascii="Cambria" w:hAnsi="Cambria" w:cs="Cambria"/>
          <w:sz w:val="22"/>
          <w:szCs w:val="22"/>
        </w:rPr>
        <w:t xml:space="preserve">unanswered. </w:t>
      </w:r>
      <w:r w:rsidRPr="00F27CBF">
        <w:rPr>
          <w:rFonts w:ascii="Cambria" w:hAnsi="Cambria" w:cs="Cambria"/>
          <w:sz w:val="22"/>
          <w:szCs w:val="22"/>
        </w:rPr>
        <w:t xml:space="preserve">There must be something in the working of the system </w:t>
      </w:r>
      <w:r w:rsidR="00B729C3" w:rsidRPr="00F27CBF">
        <w:rPr>
          <w:rFonts w:ascii="Cambria" w:hAnsi="Cambria" w:cs="Cambria"/>
          <w:sz w:val="22"/>
          <w:szCs w:val="22"/>
        </w:rPr>
        <w:t>that</w:t>
      </w:r>
      <w:r w:rsidR="00C77EAD" w:rsidRPr="00F27CBF">
        <w:rPr>
          <w:rFonts w:ascii="Cambria" w:hAnsi="Cambria" w:cs="Cambria"/>
          <w:sz w:val="22"/>
          <w:szCs w:val="22"/>
        </w:rPr>
        <w:t xml:space="preserve"> is the cause of </w:t>
      </w:r>
      <w:r w:rsidRPr="00F27CBF">
        <w:rPr>
          <w:rFonts w:ascii="Cambria" w:hAnsi="Cambria" w:cs="Cambria"/>
          <w:sz w:val="22"/>
          <w:szCs w:val="22"/>
        </w:rPr>
        <w:t>all these different causes. In other words, there must be an ultimate caus</w:t>
      </w:r>
      <w:r w:rsidRPr="001766B3">
        <w:rPr>
          <w:rFonts w:ascii="Cambria" w:hAnsi="Cambria" w:cs="Cambria"/>
          <w:color w:val="262626"/>
          <w:sz w:val="22"/>
          <w:szCs w:val="22"/>
        </w:rPr>
        <w:t xml:space="preserve">e.  This is the tendential fall in the </w:t>
      </w:r>
      <w:r w:rsidR="00B729C3">
        <w:rPr>
          <w:rFonts w:ascii="Cambria" w:hAnsi="Cambria" w:cs="Cambria"/>
          <w:color w:val="262626"/>
          <w:sz w:val="22"/>
          <w:szCs w:val="22"/>
        </w:rPr>
        <w:t>ROP</w:t>
      </w:r>
      <w:r w:rsidRPr="001766B3">
        <w:rPr>
          <w:rFonts w:ascii="Cambria" w:hAnsi="Cambria" w:cs="Cambria"/>
          <w:color w:val="262626"/>
          <w:sz w:val="22"/>
          <w:szCs w:val="22"/>
        </w:rPr>
        <w:t xml:space="preserve">, the effect of the increase in the OCC on the </w:t>
      </w:r>
      <w:r w:rsidR="00B729C3">
        <w:rPr>
          <w:rFonts w:ascii="Cambria" w:hAnsi="Cambria" w:cs="Cambria"/>
          <w:color w:val="262626"/>
          <w:sz w:val="22"/>
          <w:szCs w:val="22"/>
        </w:rPr>
        <w:t>ROP</w:t>
      </w:r>
      <w:r w:rsidRPr="001766B3">
        <w:rPr>
          <w:rFonts w:ascii="Cambria" w:hAnsi="Cambria" w:cs="Cambria"/>
          <w:color w:val="262626"/>
          <w:sz w:val="22"/>
          <w:szCs w:val="22"/>
        </w:rPr>
        <w:t xml:space="preserve"> due to </w:t>
      </w:r>
      <w:proofErr w:type="gramStart"/>
      <w:r w:rsidRPr="001766B3">
        <w:rPr>
          <w:rFonts w:ascii="Cambria" w:hAnsi="Cambria" w:cs="Cambria"/>
          <w:color w:val="262626"/>
          <w:sz w:val="22"/>
          <w:szCs w:val="22"/>
        </w:rPr>
        <w:t>labour-shedding</w:t>
      </w:r>
      <w:proofErr w:type="gramEnd"/>
      <w:r w:rsidRPr="001766B3">
        <w:rPr>
          <w:rFonts w:ascii="Cambria" w:hAnsi="Cambria" w:cs="Cambria"/>
          <w:color w:val="262626"/>
          <w:sz w:val="22"/>
          <w:szCs w:val="22"/>
        </w:rPr>
        <w:t xml:space="preserve"> and productivit</w:t>
      </w:r>
      <w:r w:rsidR="00F27CBF">
        <w:rPr>
          <w:rFonts w:ascii="Cambria" w:hAnsi="Cambria" w:cs="Cambria"/>
          <w:color w:val="262626"/>
          <w:sz w:val="22"/>
          <w:szCs w:val="22"/>
        </w:rPr>
        <w:t>y increasing new technologies. G</w:t>
      </w:r>
      <w:r w:rsidRPr="001766B3">
        <w:rPr>
          <w:rFonts w:ascii="Cambria" w:hAnsi="Cambria" w:cs="Cambria"/>
          <w:color w:val="262626"/>
          <w:sz w:val="22"/>
          <w:szCs w:val="22"/>
        </w:rPr>
        <w:t>iven the tendential nature of the Law, the tendency interacts with the counter-tendencies and the result is the specific form taken by the crisis of profitability. </w:t>
      </w:r>
      <w:r w:rsidR="00B729C3">
        <w:rPr>
          <w:rFonts w:ascii="Cambria" w:hAnsi="Cambria" w:cs="Cambria"/>
          <w:color w:val="262626"/>
          <w:sz w:val="22"/>
          <w:szCs w:val="22"/>
        </w:rPr>
        <w:t>The Great Recession</w:t>
      </w:r>
      <w:r w:rsidR="003A7F8A">
        <w:rPr>
          <w:rFonts w:ascii="Cambria" w:hAnsi="Cambria" w:cs="Cambria"/>
          <w:color w:val="262626"/>
          <w:sz w:val="22"/>
          <w:szCs w:val="22"/>
        </w:rPr>
        <w:t xml:space="preserve"> is a case in point.</w:t>
      </w:r>
    </w:p>
    <w:p w14:paraId="6EE77EA4" w14:textId="77777777" w:rsidR="00E74967" w:rsidRDefault="00E74967" w:rsidP="00E74967">
      <w:pPr>
        <w:widowControl w:val="0"/>
        <w:autoSpaceDE w:val="0"/>
        <w:autoSpaceDN w:val="0"/>
        <w:adjustRightInd w:val="0"/>
        <w:rPr>
          <w:rFonts w:ascii="Cambria" w:hAnsi="Cambria" w:cs="Cambria"/>
          <w:color w:val="262626"/>
          <w:sz w:val="22"/>
          <w:szCs w:val="22"/>
        </w:rPr>
      </w:pPr>
    </w:p>
    <w:p w14:paraId="41F257D5" w14:textId="5C48E612" w:rsidR="00E74967" w:rsidRDefault="00E74967" w:rsidP="00E74967">
      <w:pPr>
        <w:widowControl w:val="0"/>
        <w:autoSpaceDE w:val="0"/>
        <w:autoSpaceDN w:val="0"/>
        <w:adjustRightInd w:val="0"/>
        <w:rPr>
          <w:rFonts w:ascii="Cambria" w:hAnsi="Cambria" w:cs="Cambria"/>
          <w:color w:val="1A1A1A"/>
          <w:sz w:val="22"/>
          <w:szCs w:val="22"/>
        </w:rPr>
      </w:pPr>
      <w:r w:rsidRPr="001766B3">
        <w:rPr>
          <w:rFonts w:ascii="Cambria" w:hAnsi="Cambria" w:cs="Cambria"/>
          <w:b/>
          <w:color w:val="1A1A1A"/>
          <w:sz w:val="22"/>
          <w:szCs w:val="22"/>
        </w:rPr>
        <w:t>Eleventh critique</w:t>
      </w:r>
      <w:r w:rsidRPr="001766B3">
        <w:rPr>
          <w:rFonts w:ascii="Cambria" w:hAnsi="Cambria" w:cs="Cambria"/>
          <w:color w:val="1A1A1A"/>
          <w:sz w:val="22"/>
          <w:szCs w:val="22"/>
        </w:rPr>
        <w:t xml:space="preserve">. </w:t>
      </w:r>
      <w:r w:rsidRPr="007819ED">
        <w:rPr>
          <w:rFonts w:ascii="Cambria" w:hAnsi="Cambria" w:cs="Cambria"/>
          <w:iCs/>
          <w:color w:val="1A1A1A"/>
          <w:sz w:val="22"/>
          <w:szCs w:val="22"/>
        </w:rPr>
        <w:t>Crises are caused by an insufficient quantity of money and not by falling profitability</w:t>
      </w:r>
      <w:r w:rsidRPr="001766B3">
        <w:rPr>
          <w:rFonts w:ascii="Cambria" w:hAnsi="Cambria" w:cs="Cambria"/>
          <w:i/>
          <w:iCs/>
          <w:color w:val="1A1A1A"/>
          <w:sz w:val="22"/>
          <w:szCs w:val="22"/>
        </w:rPr>
        <w:t>.</w:t>
      </w:r>
      <w:r w:rsidRPr="001766B3">
        <w:rPr>
          <w:rFonts w:ascii="Cambria" w:hAnsi="Cambria" w:cs="Cambria"/>
          <w:color w:val="1A1A1A"/>
          <w:sz w:val="22"/>
          <w:szCs w:val="22"/>
        </w:rPr>
        <w:t xml:space="preserve"> Consider this </w:t>
      </w:r>
      <w:r w:rsidR="00126EA5">
        <w:rPr>
          <w:rFonts w:ascii="Cambria" w:hAnsi="Cambria" w:cs="Cambria"/>
          <w:color w:val="1A1A1A"/>
          <w:sz w:val="22"/>
          <w:szCs w:val="22"/>
        </w:rPr>
        <w:t>chart</w:t>
      </w:r>
    </w:p>
    <w:p w14:paraId="73AF1BB9" w14:textId="77777777" w:rsidR="00126EA5" w:rsidRDefault="00126EA5" w:rsidP="00E74967">
      <w:pPr>
        <w:widowControl w:val="0"/>
        <w:autoSpaceDE w:val="0"/>
        <w:autoSpaceDN w:val="0"/>
        <w:adjustRightInd w:val="0"/>
        <w:rPr>
          <w:rFonts w:ascii="Cambria" w:hAnsi="Cambria" w:cs="Cambria"/>
          <w:color w:val="1A1A1A"/>
          <w:sz w:val="22"/>
          <w:szCs w:val="22"/>
        </w:rPr>
      </w:pPr>
    </w:p>
    <w:p w14:paraId="092062C5" w14:textId="7C67D88D" w:rsidR="00E74967" w:rsidRPr="001766B3" w:rsidRDefault="00E74967" w:rsidP="00E74967">
      <w:pPr>
        <w:widowControl w:val="0"/>
        <w:autoSpaceDE w:val="0"/>
        <w:autoSpaceDN w:val="0"/>
        <w:adjustRightInd w:val="0"/>
        <w:rPr>
          <w:rFonts w:ascii="Cambria" w:hAnsi="Cambria" w:cs="Cambria"/>
          <w:color w:val="1A1A1A"/>
          <w:sz w:val="22"/>
          <w:szCs w:val="22"/>
        </w:rPr>
      </w:pPr>
    </w:p>
    <w:p w14:paraId="36EB89B1" w14:textId="77777777" w:rsidR="002E0216" w:rsidRDefault="002E0216" w:rsidP="00E74967">
      <w:pPr>
        <w:widowControl w:val="0"/>
        <w:autoSpaceDE w:val="0"/>
        <w:autoSpaceDN w:val="0"/>
        <w:adjustRightInd w:val="0"/>
        <w:rPr>
          <w:rFonts w:ascii="Cambria" w:hAnsi="Cambria" w:cs="Cambria"/>
          <w:color w:val="1A1A1A"/>
          <w:sz w:val="22"/>
          <w:szCs w:val="22"/>
        </w:rPr>
      </w:pPr>
    </w:p>
    <w:p w14:paraId="050E1782" w14:textId="77777777" w:rsidR="002E0216" w:rsidRDefault="002E0216" w:rsidP="00E74967">
      <w:pPr>
        <w:widowControl w:val="0"/>
        <w:autoSpaceDE w:val="0"/>
        <w:autoSpaceDN w:val="0"/>
        <w:adjustRightInd w:val="0"/>
        <w:rPr>
          <w:rFonts w:ascii="Cambria" w:hAnsi="Cambria" w:cs="Cambria"/>
          <w:color w:val="1A1A1A"/>
          <w:sz w:val="22"/>
          <w:szCs w:val="22"/>
        </w:rPr>
      </w:pPr>
    </w:p>
    <w:p w14:paraId="08A87F4A" w14:textId="77777777" w:rsidR="002E0216" w:rsidRDefault="002E0216" w:rsidP="00E74967">
      <w:pPr>
        <w:widowControl w:val="0"/>
        <w:autoSpaceDE w:val="0"/>
        <w:autoSpaceDN w:val="0"/>
        <w:adjustRightInd w:val="0"/>
        <w:rPr>
          <w:rFonts w:ascii="Cambria" w:hAnsi="Cambria" w:cs="Cambria"/>
          <w:color w:val="1A1A1A"/>
          <w:sz w:val="22"/>
          <w:szCs w:val="22"/>
        </w:rPr>
      </w:pPr>
    </w:p>
    <w:p w14:paraId="6CDCFBAE" w14:textId="77777777" w:rsidR="007819ED" w:rsidRDefault="007819ED" w:rsidP="00E74967">
      <w:pPr>
        <w:widowControl w:val="0"/>
        <w:autoSpaceDE w:val="0"/>
        <w:autoSpaceDN w:val="0"/>
        <w:adjustRightInd w:val="0"/>
        <w:rPr>
          <w:rFonts w:ascii="Cambria" w:hAnsi="Cambria" w:cs="Cambria"/>
          <w:color w:val="1A1A1A"/>
          <w:sz w:val="22"/>
          <w:szCs w:val="22"/>
        </w:rPr>
      </w:pPr>
    </w:p>
    <w:p w14:paraId="74B02557" w14:textId="77777777" w:rsidR="007819ED" w:rsidRDefault="007819ED" w:rsidP="00E74967">
      <w:pPr>
        <w:widowControl w:val="0"/>
        <w:autoSpaceDE w:val="0"/>
        <w:autoSpaceDN w:val="0"/>
        <w:adjustRightInd w:val="0"/>
        <w:rPr>
          <w:rFonts w:ascii="Cambria" w:hAnsi="Cambria" w:cs="Cambria"/>
          <w:color w:val="1A1A1A"/>
          <w:sz w:val="22"/>
          <w:szCs w:val="22"/>
        </w:rPr>
      </w:pPr>
    </w:p>
    <w:p w14:paraId="2495606F" w14:textId="77777777" w:rsidR="007819ED" w:rsidRDefault="007819ED" w:rsidP="00E74967">
      <w:pPr>
        <w:widowControl w:val="0"/>
        <w:autoSpaceDE w:val="0"/>
        <w:autoSpaceDN w:val="0"/>
        <w:adjustRightInd w:val="0"/>
        <w:rPr>
          <w:rFonts w:ascii="Cambria" w:hAnsi="Cambria" w:cs="Cambria"/>
          <w:color w:val="1A1A1A"/>
          <w:sz w:val="22"/>
          <w:szCs w:val="22"/>
        </w:rPr>
      </w:pPr>
    </w:p>
    <w:p w14:paraId="11A15679" w14:textId="77777777" w:rsidR="007819ED" w:rsidRDefault="007819ED" w:rsidP="00E74967">
      <w:pPr>
        <w:widowControl w:val="0"/>
        <w:autoSpaceDE w:val="0"/>
        <w:autoSpaceDN w:val="0"/>
        <w:adjustRightInd w:val="0"/>
        <w:rPr>
          <w:rFonts w:ascii="Cambria" w:hAnsi="Cambria" w:cs="Cambria"/>
          <w:color w:val="1A1A1A"/>
          <w:sz w:val="22"/>
          <w:szCs w:val="22"/>
        </w:rPr>
      </w:pPr>
    </w:p>
    <w:p w14:paraId="757F12C1" w14:textId="77777777" w:rsidR="007819ED" w:rsidRDefault="007819ED" w:rsidP="00E74967">
      <w:pPr>
        <w:widowControl w:val="0"/>
        <w:autoSpaceDE w:val="0"/>
        <w:autoSpaceDN w:val="0"/>
        <w:adjustRightInd w:val="0"/>
        <w:rPr>
          <w:rFonts w:ascii="Cambria" w:hAnsi="Cambria" w:cs="Cambria"/>
          <w:color w:val="1A1A1A"/>
          <w:sz w:val="22"/>
          <w:szCs w:val="22"/>
        </w:rPr>
      </w:pPr>
    </w:p>
    <w:p w14:paraId="26FF7C29" w14:textId="77777777" w:rsidR="007819ED" w:rsidRDefault="007819ED" w:rsidP="00E74967">
      <w:pPr>
        <w:widowControl w:val="0"/>
        <w:autoSpaceDE w:val="0"/>
        <w:autoSpaceDN w:val="0"/>
        <w:adjustRightInd w:val="0"/>
        <w:rPr>
          <w:rFonts w:ascii="Cambria" w:hAnsi="Cambria" w:cs="Cambria"/>
          <w:color w:val="1A1A1A"/>
          <w:sz w:val="22"/>
          <w:szCs w:val="22"/>
        </w:rPr>
      </w:pPr>
    </w:p>
    <w:p w14:paraId="324B0916" w14:textId="77777777" w:rsidR="007819ED" w:rsidRDefault="007819ED" w:rsidP="00E74967">
      <w:pPr>
        <w:widowControl w:val="0"/>
        <w:autoSpaceDE w:val="0"/>
        <w:autoSpaceDN w:val="0"/>
        <w:adjustRightInd w:val="0"/>
        <w:rPr>
          <w:rFonts w:ascii="Cambria" w:hAnsi="Cambria" w:cs="Cambria"/>
          <w:color w:val="1A1A1A"/>
          <w:sz w:val="22"/>
          <w:szCs w:val="22"/>
        </w:rPr>
      </w:pPr>
    </w:p>
    <w:p w14:paraId="03A862D1" w14:textId="77777777" w:rsidR="007819ED" w:rsidRDefault="007819ED" w:rsidP="00E74967">
      <w:pPr>
        <w:widowControl w:val="0"/>
        <w:autoSpaceDE w:val="0"/>
        <w:autoSpaceDN w:val="0"/>
        <w:adjustRightInd w:val="0"/>
        <w:rPr>
          <w:rFonts w:ascii="Cambria" w:hAnsi="Cambria" w:cs="Cambria"/>
          <w:color w:val="1A1A1A"/>
          <w:sz w:val="22"/>
          <w:szCs w:val="22"/>
        </w:rPr>
      </w:pPr>
    </w:p>
    <w:p w14:paraId="6DE3ACE3" w14:textId="77777777" w:rsidR="007819ED" w:rsidRDefault="007819ED" w:rsidP="00E74967">
      <w:pPr>
        <w:widowControl w:val="0"/>
        <w:autoSpaceDE w:val="0"/>
        <w:autoSpaceDN w:val="0"/>
        <w:adjustRightInd w:val="0"/>
        <w:rPr>
          <w:rFonts w:ascii="Cambria" w:hAnsi="Cambria" w:cs="Cambria"/>
          <w:color w:val="1A1A1A"/>
          <w:sz w:val="22"/>
          <w:szCs w:val="22"/>
        </w:rPr>
      </w:pPr>
    </w:p>
    <w:p w14:paraId="526C6CCF" w14:textId="77777777" w:rsidR="007819ED" w:rsidRDefault="007819ED" w:rsidP="00E74967">
      <w:pPr>
        <w:widowControl w:val="0"/>
        <w:autoSpaceDE w:val="0"/>
        <w:autoSpaceDN w:val="0"/>
        <w:adjustRightInd w:val="0"/>
        <w:rPr>
          <w:rFonts w:ascii="Cambria" w:hAnsi="Cambria" w:cs="Cambria"/>
          <w:color w:val="1A1A1A"/>
          <w:sz w:val="22"/>
          <w:szCs w:val="22"/>
        </w:rPr>
      </w:pPr>
    </w:p>
    <w:p w14:paraId="24973437" w14:textId="77777777" w:rsidR="007819ED" w:rsidRDefault="007819ED" w:rsidP="00E74967">
      <w:pPr>
        <w:widowControl w:val="0"/>
        <w:autoSpaceDE w:val="0"/>
        <w:autoSpaceDN w:val="0"/>
        <w:adjustRightInd w:val="0"/>
        <w:rPr>
          <w:rFonts w:ascii="Cambria" w:hAnsi="Cambria" w:cs="Cambria"/>
          <w:color w:val="1A1A1A"/>
          <w:sz w:val="22"/>
          <w:szCs w:val="22"/>
        </w:rPr>
      </w:pPr>
    </w:p>
    <w:p w14:paraId="57BAF4DA" w14:textId="77777777" w:rsidR="007819ED" w:rsidRDefault="007819ED" w:rsidP="00E74967">
      <w:pPr>
        <w:widowControl w:val="0"/>
        <w:autoSpaceDE w:val="0"/>
        <w:autoSpaceDN w:val="0"/>
        <w:adjustRightInd w:val="0"/>
        <w:rPr>
          <w:rFonts w:ascii="Cambria" w:hAnsi="Cambria" w:cs="Cambria"/>
          <w:color w:val="1A1A1A"/>
          <w:sz w:val="22"/>
          <w:szCs w:val="22"/>
        </w:rPr>
      </w:pPr>
    </w:p>
    <w:p w14:paraId="309046C0" w14:textId="77777777" w:rsidR="00E74967" w:rsidRPr="001766B3" w:rsidRDefault="00E74967" w:rsidP="00E74967">
      <w:pPr>
        <w:widowControl w:val="0"/>
        <w:autoSpaceDE w:val="0"/>
        <w:autoSpaceDN w:val="0"/>
        <w:adjustRightInd w:val="0"/>
        <w:rPr>
          <w:rFonts w:ascii="Cambria" w:hAnsi="Cambria" w:cs="Cambria"/>
          <w:color w:val="1A1A1A"/>
          <w:sz w:val="22"/>
          <w:szCs w:val="22"/>
        </w:rPr>
      </w:pPr>
      <w:r w:rsidRPr="001766B3">
        <w:rPr>
          <w:rFonts w:ascii="Cambria" w:hAnsi="Cambria" w:cs="Cambria"/>
          <w:color w:val="1A1A1A"/>
          <w:sz w:val="22"/>
          <w:szCs w:val="22"/>
        </w:rPr>
        <w:t>Chart 7.</w:t>
      </w:r>
    </w:p>
    <w:p w14:paraId="29F6F1CB" w14:textId="77777777" w:rsidR="00E74967" w:rsidRPr="001766B3" w:rsidRDefault="00E74967" w:rsidP="00E74967">
      <w:pPr>
        <w:widowControl w:val="0"/>
        <w:autoSpaceDE w:val="0"/>
        <w:autoSpaceDN w:val="0"/>
        <w:adjustRightInd w:val="0"/>
        <w:rPr>
          <w:rFonts w:ascii="Cambria" w:hAnsi="Cambria" w:cs="Cambria"/>
          <w:color w:val="1A1A1A"/>
        </w:rPr>
      </w:pPr>
      <w:r w:rsidRPr="001766B3">
        <w:rPr>
          <w:rFonts w:ascii="Cambria" w:hAnsi="Cambria" w:cs="Cambria"/>
          <w:color w:val="1A1A1A"/>
        </w:rPr>
        <w:t> </w:t>
      </w:r>
      <w:r w:rsidR="007F6CC1" w:rsidRPr="001766B3">
        <w:rPr>
          <w:noProof/>
          <w:lang w:val="en-US"/>
        </w:rPr>
        <w:drawing>
          <wp:inline distT="0" distB="0" distL="0" distR="0" wp14:anchorId="17227B6B" wp14:editId="20E56C8C">
            <wp:extent cx="4572000" cy="2743200"/>
            <wp:effectExtent l="0" t="0" r="25400" b="2540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1A6BB83" w14:textId="77777777" w:rsidR="007F6CC1" w:rsidRPr="001766B3" w:rsidRDefault="007F6CC1" w:rsidP="00E74967">
      <w:pPr>
        <w:widowControl w:val="0"/>
        <w:autoSpaceDE w:val="0"/>
        <w:autoSpaceDN w:val="0"/>
        <w:adjustRightInd w:val="0"/>
        <w:rPr>
          <w:rFonts w:ascii="Cambria" w:hAnsi="Cambria" w:cs="Cambria"/>
          <w:color w:val="1A1A1A"/>
          <w:sz w:val="22"/>
          <w:szCs w:val="22"/>
        </w:rPr>
      </w:pPr>
    </w:p>
    <w:p w14:paraId="74743DFE" w14:textId="6535EE7F" w:rsidR="00E74967" w:rsidRPr="001766B3" w:rsidRDefault="00E74967" w:rsidP="00E74967">
      <w:pPr>
        <w:widowControl w:val="0"/>
        <w:autoSpaceDE w:val="0"/>
        <w:autoSpaceDN w:val="0"/>
        <w:adjustRightInd w:val="0"/>
        <w:rPr>
          <w:rFonts w:ascii="Cambria" w:hAnsi="Cambria" w:cs="Cambria"/>
          <w:color w:val="1A1A1A"/>
          <w:sz w:val="22"/>
          <w:szCs w:val="22"/>
        </w:rPr>
      </w:pPr>
      <w:r w:rsidRPr="001766B3">
        <w:rPr>
          <w:rFonts w:ascii="Cambria" w:hAnsi="Cambria" w:cs="Cambria"/>
          <w:color w:val="1A1A1A"/>
          <w:sz w:val="22"/>
          <w:szCs w:val="22"/>
        </w:rPr>
        <w:t xml:space="preserve">While the quantity of money (M1+M2) grows persistently from 1959 to 2010, the CE-ARP falls persistently and the ARP </w:t>
      </w:r>
      <w:r w:rsidR="00126EA5">
        <w:rPr>
          <w:rFonts w:ascii="Cambria" w:hAnsi="Cambria" w:cs="Cambria"/>
          <w:color w:val="1A1A1A"/>
          <w:sz w:val="22"/>
          <w:szCs w:val="22"/>
        </w:rPr>
        <w:t xml:space="preserve">(with variable rates of exploitation) </w:t>
      </w:r>
      <w:r w:rsidRPr="001766B3">
        <w:rPr>
          <w:rFonts w:ascii="Cambria" w:hAnsi="Cambria" w:cs="Cambria"/>
          <w:color w:val="1A1A1A"/>
          <w:sz w:val="22"/>
          <w:szCs w:val="22"/>
        </w:rPr>
        <w:t xml:space="preserve">falls up to the mid-1980s and then rises. The quantity of money has no influence on </w:t>
      </w:r>
      <w:r w:rsidR="00126EA5">
        <w:rPr>
          <w:rFonts w:ascii="Cambria" w:hAnsi="Cambria" w:cs="Cambria"/>
          <w:color w:val="1A1A1A"/>
          <w:sz w:val="22"/>
          <w:szCs w:val="22"/>
        </w:rPr>
        <w:t xml:space="preserve">the </w:t>
      </w:r>
      <w:r w:rsidRPr="001766B3">
        <w:rPr>
          <w:rFonts w:ascii="Cambria" w:hAnsi="Cambria" w:cs="Cambria"/>
          <w:color w:val="1A1A1A"/>
          <w:sz w:val="22"/>
          <w:szCs w:val="22"/>
        </w:rPr>
        <w:t>long-term average profitability no matter how it is measured.</w:t>
      </w:r>
      <w:r w:rsidRPr="001766B3">
        <w:rPr>
          <w:rFonts w:ascii="Cambria" w:hAnsi="Cambria" w:cs="Cambria"/>
          <w:color w:val="1A1A1A"/>
        </w:rPr>
        <w:t xml:space="preserve"> </w:t>
      </w:r>
      <w:r w:rsidRPr="001766B3">
        <w:rPr>
          <w:rFonts w:ascii="Cambria" w:hAnsi="Cambria" w:cs="Cambria"/>
          <w:color w:val="1A1A1A"/>
          <w:sz w:val="22"/>
          <w:szCs w:val="22"/>
        </w:rPr>
        <w:t>I use the conventional definition of money, as M1+M2, to show that not only money proper (bills and coins) but also credit (which is not money) are impotent against the tendency towards the fall in profitability and thus crises.</w:t>
      </w:r>
    </w:p>
    <w:p w14:paraId="2A7B3C53" w14:textId="77777777" w:rsidR="00E74967" w:rsidRDefault="00E74967" w:rsidP="00E74967">
      <w:pPr>
        <w:widowControl w:val="0"/>
        <w:autoSpaceDE w:val="0"/>
        <w:autoSpaceDN w:val="0"/>
        <w:adjustRightInd w:val="0"/>
        <w:rPr>
          <w:rFonts w:ascii="Cambria" w:hAnsi="Cambria" w:cs="Cambria"/>
          <w:color w:val="1A1A1A"/>
          <w:sz w:val="22"/>
          <w:szCs w:val="22"/>
        </w:rPr>
      </w:pPr>
    </w:p>
    <w:p w14:paraId="54C615B1" w14:textId="456C761A" w:rsidR="00E74967" w:rsidRPr="001766B3" w:rsidRDefault="00E74967" w:rsidP="00E74967">
      <w:pPr>
        <w:widowControl w:val="0"/>
        <w:autoSpaceDE w:val="0"/>
        <w:autoSpaceDN w:val="0"/>
        <w:adjustRightInd w:val="0"/>
        <w:rPr>
          <w:rFonts w:ascii="Cambria" w:hAnsi="Cambria" w:cs="Cambria"/>
          <w:color w:val="1A1A1A"/>
          <w:sz w:val="22"/>
          <w:szCs w:val="22"/>
        </w:rPr>
      </w:pPr>
      <w:r w:rsidRPr="001766B3">
        <w:rPr>
          <w:rFonts w:ascii="Cambria" w:hAnsi="Cambria" w:cs="Cambria"/>
          <w:b/>
          <w:color w:val="262626"/>
          <w:sz w:val="22"/>
          <w:szCs w:val="22"/>
        </w:rPr>
        <w:t>Twelfth critique</w:t>
      </w:r>
      <w:r w:rsidRPr="001766B3">
        <w:rPr>
          <w:rFonts w:ascii="Cambria" w:hAnsi="Cambria" w:cs="Cambria"/>
          <w:color w:val="262626"/>
          <w:sz w:val="22"/>
          <w:szCs w:val="22"/>
        </w:rPr>
        <w:t xml:space="preserve">. </w:t>
      </w:r>
      <w:r w:rsidRPr="007819ED">
        <w:rPr>
          <w:rFonts w:ascii="Cambria" w:hAnsi="Cambria" w:cs="Cambria"/>
          <w:iCs/>
          <w:color w:val="262626"/>
          <w:sz w:val="22"/>
          <w:szCs w:val="22"/>
        </w:rPr>
        <w:t>Crises are caused by the class struggle</w:t>
      </w:r>
      <w:r w:rsidRPr="001766B3">
        <w:rPr>
          <w:rFonts w:ascii="Cambria" w:hAnsi="Cambria" w:cs="Cambria"/>
          <w:color w:val="262626"/>
          <w:sz w:val="22"/>
          <w:szCs w:val="22"/>
        </w:rPr>
        <w:t xml:space="preserve">. This is the profit squeeze theory. While the class struggle contributes to give a specific form to the cycle and can detonate the crisis, it cannot be the cause of crises. The reason is as follows. </w:t>
      </w:r>
      <w:r w:rsidRPr="001766B3">
        <w:rPr>
          <w:rFonts w:ascii="Cambria" w:hAnsi="Cambria" w:cs="Cambria"/>
          <w:color w:val="1A1A1A"/>
          <w:sz w:val="22"/>
          <w:szCs w:val="22"/>
        </w:rPr>
        <w:t xml:space="preserve">To explain how crises are endogenous to the system, </w:t>
      </w:r>
      <w:r w:rsidR="00B863CF">
        <w:rPr>
          <w:rFonts w:ascii="Cambria" w:hAnsi="Cambria" w:cs="Cambria"/>
          <w:color w:val="1A1A1A"/>
          <w:sz w:val="22"/>
          <w:szCs w:val="22"/>
        </w:rPr>
        <w:t xml:space="preserve">how they spontaneously arise from within an upward cycle, </w:t>
      </w:r>
      <w:r w:rsidRPr="001766B3">
        <w:rPr>
          <w:rFonts w:ascii="Cambria" w:hAnsi="Cambria" w:cs="Cambria"/>
          <w:color w:val="1A1A1A"/>
          <w:sz w:val="22"/>
          <w:szCs w:val="22"/>
        </w:rPr>
        <w:t xml:space="preserve">one has to start from economic </w:t>
      </w:r>
      <w:r w:rsidR="00781B18">
        <w:rPr>
          <w:rFonts w:ascii="Cambria" w:hAnsi="Cambria" w:cs="Cambria"/>
          <w:color w:val="1A1A1A"/>
          <w:sz w:val="22"/>
          <w:szCs w:val="22"/>
        </w:rPr>
        <w:t>recovery</w:t>
      </w:r>
      <w:r w:rsidRPr="001766B3">
        <w:rPr>
          <w:rFonts w:ascii="Cambria" w:hAnsi="Cambria" w:cs="Cambria"/>
          <w:color w:val="1A1A1A"/>
          <w:sz w:val="22"/>
          <w:szCs w:val="22"/>
        </w:rPr>
        <w:t xml:space="preserve">, when both the rate of profit and the new value rise, and see how economic growth turns into its opposite. But the inverse relation between wages and profits holds only if the mass of new value is </w:t>
      </w:r>
      <w:r w:rsidR="00B863CF">
        <w:rPr>
          <w:rFonts w:ascii="Cambria" w:hAnsi="Cambria" w:cs="Cambria"/>
          <w:color w:val="1A1A1A"/>
          <w:sz w:val="22"/>
          <w:szCs w:val="22"/>
        </w:rPr>
        <w:t>stable</w:t>
      </w:r>
      <w:r w:rsidRPr="001766B3">
        <w:rPr>
          <w:rFonts w:ascii="Cambria" w:hAnsi="Cambria" w:cs="Cambria"/>
          <w:color w:val="1A1A1A"/>
          <w:sz w:val="22"/>
          <w:szCs w:val="22"/>
        </w:rPr>
        <w:t xml:space="preserve"> or falling. It does not necessarily hold if the new value rises, i.e. when the economy is recovering. If the new value produced rises, wages, profits and thus the </w:t>
      </w:r>
      <w:r w:rsidR="00B863CF">
        <w:rPr>
          <w:rFonts w:ascii="Cambria" w:hAnsi="Cambria" w:cs="Cambria"/>
          <w:color w:val="1A1A1A"/>
          <w:sz w:val="22"/>
          <w:szCs w:val="22"/>
        </w:rPr>
        <w:t>ROP</w:t>
      </w:r>
      <w:r w:rsidRPr="001766B3">
        <w:rPr>
          <w:rFonts w:ascii="Cambria" w:hAnsi="Cambria" w:cs="Cambria"/>
          <w:color w:val="1A1A1A"/>
          <w:sz w:val="22"/>
          <w:szCs w:val="22"/>
        </w:rPr>
        <w:t xml:space="preserve"> can all rise. As long as the new value grows, there is no inherent necessity for higher wages to cause a fall in the ROP, only a possibility. Then, there must be a factor that </w:t>
      </w:r>
      <w:r w:rsidRPr="001766B3">
        <w:rPr>
          <w:rFonts w:ascii="Cambria" w:hAnsi="Cambria" w:cs="Cambria"/>
          <w:i/>
          <w:iCs/>
          <w:color w:val="1A1A1A"/>
          <w:sz w:val="22"/>
          <w:szCs w:val="22"/>
        </w:rPr>
        <w:t>necessarily</w:t>
      </w:r>
      <w:r w:rsidRPr="001766B3">
        <w:rPr>
          <w:rFonts w:ascii="Cambria" w:hAnsi="Cambria" w:cs="Cambria"/>
          <w:color w:val="1A1A1A"/>
          <w:sz w:val="22"/>
          <w:szCs w:val="22"/>
        </w:rPr>
        <w:t xml:space="preserve"> undermines the increase in the rate of growth of the new value created. This is the increase in the OCC due to labour shedding and productivity increasing </w:t>
      </w:r>
      <w:proofErr w:type="gramStart"/>
      <w:r w:rsidRPr="001766B3">
        <w:rPr>
          <w:rFonts w:ascii="Cambria" w:hAnsi="Cambria" w:cs="Cambria"/>
          <w:color w:val="1A1A1A"/>
          <w:sz w:val="22"/>
          <w:szCs w:val="22"/>
        </w:rPr>
        <w:t>techniques</w:t>
      </w:r>
      <w:r w:rsidR="00781B18">
        <w:rPr>
          <w:rFonts w:ascii="Cambria" w:hAnsi="Cambria" w:cs="Cambria"/>
          <w:color w:val="1A1A1A"/>
          <w:sz w:val="22"/>
          <w:szCs w:val="22"/>
        </w:rPr>
        <w:t xml:space="preserve"> which</w:t>
      </w:r>
      <w:proofErr w:type="gramEnd"/>
      <w:r w:rsidR="00781B18">
        <w:rPr>
          <w:rFonts w:ascii="Cambria" w:hAnsi="Cambria" w:cs="Cambria"/>
          <w:color w:val="1A1A1A"/>
          <w:sz w:val="22"/>
          <w:szCs w:val="22"/>
        </w:rPr>
        <w:t xml:space="preserve"> can turn a positive percentage growth in new value into a negative percentage growth</w:t>
      </w:r>
      <w:r w:rsidRPr="001766B3">
        <w:rPr>
          <w:rFonts w:ascii="Cambria" w:hAnsi="Cambria" w:cs="Cambria"/>
          <w:color w:val="1A1A1A"/>
          <w:sz w:val="22"/>
          <w:szCs w:val="22"/>
        </w:rPr>
        <w:t>. </w:t>
      </w:r>
    </w:p>
    <w:p w14:paraId="4E3B0376" w14:textId="77777777" w:rsidR="00E74967" w:rsidRDefault="00E74967" w:rsidP="00E74967">
      <w:pPr>
        <w:widowControl w:val="0"/>
        <w:autoSpaceDE w:val="0"/>
        <w:autoSpaceDN w:val="0"/>
        <w:adjustRightInd w:val="0"/>
        <w:rPr>
          <w:rFonts w:ascii="Cambria" w:hAnsi="Cambria" w:cs="Cambria"/>
          <w:color w:val="1A1A1A"/>
          <w:sz w:val="22"/>
          <w:szCs w:val="22"/>
        </w:rPr>
      </w:pPr>
    </w:p>
    <w:p w14:paraId="4900AFBE" w14:textId="15569113" w:rsidR="00E74967" w:rsidRPr="002E0216" w:rsidRDefault="00E74967" w:rsidP="00E74967">
      <w:pPr>
        <w:widowControl w:val="0"/>
        <w:autoSpaceDE w:val="0"/>
        <w:autoSpaceDN w:val="0"/>
        <w:adjustRightInd w:val="0"/>
        <w:rPr>
          <w:rFonts w:ascii="Cambria" w:hAnsi="Cambria" w:cs="Cambria"/>
          <w:sz w:val="22"/>
          <w:szCs w:val="22"/>
        </w:rPr>
      </w:pPr>
      <w:r w:rsidRPr="002E0216">
        <w:rPr>
          <w:rFonts w:ascii="Cambria" w:hAnsi="Cambria" w:cs="Cambria"/>
          <w:sz w:val="22"/>
          <w:szCs w:val="22"/>
        </w:rPr>
        <w:t>To sum up, it is better to stick to the Law. It works and it works well. </w:t>
      </w:r>
    </w:p>
    <w:p w14:paraId="3A62D8C0" w14:textId="77777777" w:rsidR="00E74967" w:rsidRPr="001766B3" w:rsidRDefault="00E74967" w:rsidP="00E74967">
      <w:pPr>
        <w:widowControl w:val="0"/>
        <w:autoSpaceDE w:val="0"/>
        <w:autoSpaceDN w:val="0"/>
        <w:adjustRightInd w:val="0"/>
        <w:rPr>
          <w:rFonts w:ascii="Cambria" w:hAnsi="Cambria" w:cs="Cambria"/>
          <w:color w:val="262626"/>
          <w:sz w:val="22"/>
          <w:szCs w:val="22"/>
        </w:rPr>
      </w:pPr>
    </w:p>
    <w:p w14:paraId="7D221796" w14:textId="77777777" w:rsidR="001348E2" w:rsidRPr="001766B3" w:rsidRDefault="001348E2"/>
    <w:sectPr w:rsidR="001348E2" w:rsidRPr="001766B3" w:rsidSect="000A7CE0">
      <w:footerReference w:type="even" r:id="rId14"/>
      <w:footerReference w:type="default" r:id="rId15"/>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77E0E7" w14:textId="77777777" w:rsidR="00E74967" w:rsidRDefault="00E74967" w:rsidP="00E74967">
      <w:r>
        <w:separator/>
      </w:r>
    </w:p>
  </w:endnote>
  <w:endnote w:type="continuationSeparator" w:id="0">
    <w:p w14:paraId="775D4179" w14:textId="77777777" w:rsidR="00E74967" w:rsidRDefault="00E74967" w:rsidP="00E74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MBembo">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05ED1" w14:textId="77777777" w:rsidR="00E74967" w:rsidRDefault="00E74967" w:rsidP="005243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B23D4F" w14:textId="77777777" w:rsidR="00E74967" w:rsidRDefault="00E74967" w:rsidP="00E7496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987B1" w14:textId="77777777" w:rsidR="00E74967" w:rsidRDefault="00E74967" w:rsidP="005243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30FB2">
      <w:rPr>
        <w:rStyle w:val="PageNumber"/>
        <w:noProof/>
      </w:rPr>
      <w:t>9</w:t>
    </w:r>
    <w:r>
      <w:rPr>
        <w:rStyle w:val="PageNumber"/>
      </w:rPr>
      <w:fldChar w:fldCharType="end"/>
    </w:r>
  </w:p>
  <w:p w14:paraId="5FB74CF1" w14:textId="77777777" w:rsidR="00E74967" w:rsidRDefault="00E74967" w:rsidP="00E7496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8204F0" w14:textId="77777777" w:rsidR="00E74967" w:rsidRDefault="00E74967" w:rsidP="00E74967">
      <w:r>
        <w:separator/>
      </w:r>
    </w:p>
  </w:footnote>
  <w:footnote w:type="continuationSeparator" w:id="0">
    <w:p w14:paraId="11A5DF96" w14:textId="77777777" w:rsidR="00E74967" w:rsidRDefault="00E74967" w:rsidP="00E749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967"/>
    <w:rsid w:val="00005808"/>
    <w:rsid w:val="00007AFD"/>
    <w:rsid w:val="0001220B"/>
    <w:rsid w:val="000167B6"/>
    <w:rsid w:val="00026EFA"/>
    <w:rsid w:val="00031CBD"/>
    <w:rsid w:val="00050DCE"/>
    <w:rsid w:val="00051073"/>
    <w:rsid w:val="000516FE"/>
    <w:rsid w:val="00055268"/>
    <w:rsid w:val="00070664"/>
    <w:rsid w:val="00076D0F"/>
    <w:rsid w:val="00080EDA"/>
    <w:rsid w:val="00090CCC"/>
    <w:rsid w:val="000C1E8C"/>
    <w:rsid w:val="001258B6"/>
    <w:rsid w:val="00126EA5"/>
    <w:rsid w:val="0013411C"/>
    <w:rsid w:val="001348E2"/>
    <w:rsid w:val="00147B5D"/>
    <w:rsid w:val="00155FC9"/>
    <w:rsid w:val="001766B3"/>
    <w:rsid w:val="001859BE"/>
    <w:rsid w:val="00234710"/>
    <w:rsid w:val="00237B0B"/>
    <w:rsid w:val="002421FF"/>
    <w:rsid w:val="00247EF7"/>
    <w:rsid w:val="00264119"/>
    <w:rsid w:val="00270F1F"/>
    <w:rsid w:val="002E0216"/>
    <w:rsid w:val="00343FF3"/>
    <w:rsid w:val="003A0A9E"/>
    <w:rsid w:val="003A7F8A"/>
    <w:rsid w:val="003B2F89"/>
    <w:rsid w:val="003C3FB0"/>
    <w:rsid w:val="003E3C85"/>
    <w:rsid w:val="003E67DF"/>
    <w:rsid w:val="003E7F26"/>
    <w:rsid w:val="00415B90"/>
    <w:rsid w:val="0042760E"/>
    <w:rsid w:val="00432E19"/>
    <w:rsid w:val="004718C3"/>
    <w:rsid w:val="004838BB"/>
    <w:rsid w:val="00497F84"/>
    <w:rsid w:val="004B4F5C"/>
    <w:rsid w:val="004E1178"/>
    <w:rsid w:val="004E4740"/>
    <w:rsid w:val="00541878"/>
    <w:rsid w:val="00561083"/>
    <w:rsid w:val="0056477D"/>
    <w:rsid w:val="005B0F5F"/>
    <w:rsid w:val="005D0EA5"/>
    <w:rsid w:val="005F37CE"/>
    <w:rsid w:val="006079A8"/>
    <w:rsid w:val="00650F07"/>
    <w:rsid w:val="00685EE9"/>
    <w:rsid w:val="006901D4"/>
    <w:rsid w:val="006B019C"/>
    <w:rsid w:val="006B1487"/>
    <w:rsid w:val="00722C76"/>
    <w:rsid w:val="00723211"/>
    <w:rsid w:val="007338F8"/>
    <w:rsid w:val="007360FA"/>
    <w:rsid w:val="007574CD"/>
    <w:rsid w:val="0076514A"/>
    <w:rsid w:val="007819ED"/>
    <w:rsid w:val="00781B18"/>
    <w:rsid w:val="00783644"/>
    <w:rsid w:val="007C15D9"/>
    <w:rsid w:val="007C2891"/>
    <w:rsid w:val="007F6CC1"/>
    <w:rsid w:val="00826A8E"/>
    <w:rsid w:val="008565FF"/>
    <w:rsid w:val="00872D36"/>
    <w:rsid w:val="008732D3"/>
    <w:rsid w:val="008904C6"/>
    <w:rsid w:val="008A5AA1"/>
    <w:rsid w:val="008A6D58"/>
    <w:rsid w:val="008C084D"/>
    <w:rsid w:val="008D12CF"/>
    <w:rsid w:val="008F5C06"/>
    <w:rsid w:val="00903AE9"/>
    <w:rsid w:val="009117D0"/>
    <w:rsid w:val="00911E5B"/>
    <w:rsid w:val="00930FB2"/>
    <w:rsid w:val="009329C3"/>
    <w:rsid w:val="00935C69"/>
    <w:rsid w:val="00980A9D"/>
    <w:rsid w:val="00992410"/>
    <w:rsid w:val="009A3690"/>
    <w:rsid w:val="009C06F2"/>
    <w:rsid w:val="009C2F7D"/>
    <w:rsid w:val="00A30044"/>
    <w:rsid w:val="00A34616"/>
    <w:rsid w:val="00A647B2"/>
    <w:rsid w:val="00AA2AB2"/>
    <w:rsid w:val="00AA7A92"/>
    <w:rsid w:val="00AB1158"/>
    <w:rsid w:val="00AB5CF1"/>
    <w:rsid w:val="00AC2343"/>
    <w:rsid w:val="00B729C3"/>
    <w:rsid w:val="00B74C65"/>
    <w:rsid w:val="00B863CF"/>
    <w:rsid w:val="00BA6F6B"/>
    <w:rsid w:val="00BE08E1"/>
    <w:rsid w:val="00BE162C"/>
    <w:rsid w:val="00BE5F9F"/>
    <w:rsid w:val="00C161A3"/>
    <w:rsid w:val="00C77EAD"/>
    <w:rsid w:val="00CA7A8A"/>
    <w:rsid w:val="00D44C19"/>
    <w:rsid w:val="00D745F5"/>
    <w:rsid w:val="00D75907"/>
    <w:rsid w:val="00D9232C"/>
    <w:rsid w:val="00D9730A"/>
    <w:rsid w:val="00DB0EA7"/>
    <w:rsid w:val="00DE5CB8"/>
    <w:rsid w:val="00DF7130"/>
    <w:rsid w:val="00DF7EC2"/>
    <w:rsid w:val="00E12AD6"/>
    <w:rsid w:val="00E1671A"/>
    <w:rsid w:val="00E22E1B"/>
    <w:rsid w:val="00E36D63"/>
    <w:rsid w:val="00E37621"/>
    <w:rsid w:val="00E43D98"/>
    <w:rsid w:val="00E5290B"/>
    <w:rsid w:val="00E52FEB"/>
    <w:rsid w:val="00E661FA"/>
    <w:rsid w:val="00E74967"/>
    <w:rsid w:val="00E84D69"/>
    <w:rsid w:val="00EC261E"/>
    <w:rsid w:val="00F27CBF"/>
    <w:rsid w:val="00F370B9"/>
    <w:rsid w:val="00F43C41"/>
    <w:rsid w:val="00F43D7E"/>
    <w:rsid w:val="00F46921"/>
    <w:rsid w:val="00F67010"/>
    <w:rsid w:val="00F907C5"/>
    <w:rsid w:val="00F9658D"/>
    <w:rsid w:val="00FA3FB5"/>
    <w:rsid w:val="00FA4A93"/>
    <w:rsid w:val="00FA78EC"/>
    <w:rsid w:val="00FB4FCF"/>
    <w:rsid w:val="00FB5CF8"/>
    <w:rsid w:val="00FC67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7B39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74967"/>
    <w:pPr>
      <w:tabs>
        <w:tab w:val="center" w:pos="4320"/>
        <w:tab w:val="right" w:pos="8640"/>
      </w:tabs>
    </w:pPr>
  </w:style>
  <w:style w:type="character" w:customStyle="1" w:styleId="FooterChar">
    <w:name w:val="Footer Char"/>
    <w:basedOn w:val="DefaultParagraphFont"/>
    <w:link w:val="Footer"/>
    <w:uiPriority w:val="99"/>
    <w:rsid w:val="00E74967"/>
    <w:rPr>
      <w:lang w:val="en-GB"/>
    </w:rPr>
  </w:style>
  <w:style w:type="character" w:styleId="PageNumber">
    <w:name w:val="page number"/>
    <w:basedOn w:val="DefaultParagraphFont"/>
    <w:uiPriority w:val="99"/>
    <w:semiHidden/>
    <w:unhideWhenUsed/>
    <w:rsid w:val="00E74967"/>
  </w:style>
  <w:style w:type="paragraph" w:styleId="BalloonText">
    <w:name w:val="Balloon Text"/>
    <w:basedOn w:val="Normal"/>
    <w:link w:val="BalloonTextChar"/>
    <w:uiPriority w:val="99"/>
    <w:semiHidden/>
    <w:unhideWhenUsed/>
    <w:rsid w:val="00E749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4967"/>
    <w:rPr>
      <w:rFonts w:ascii="Lucida Grande" w:hAnsi="Lucida Grande" w:cs="Lucida Grande"/>
      <w:sz w:val="18"/>
      <w:szCs w:val="18"/>
      <w:lang w:val="en-GB"/>
    </w:rPr>
  </w:style>
  <w:style w:type="table" w:styleId="TableGrid">
    <w:name w:val="Table Grid"/>
    <w:basedOn w:val="TableNormal"/>
    <w:uiPriority w:val="99"/>
    <w:rsid w:val="007F6CC1"/>
    <w:rPr>
      <w:rFonts w:ascii="Cambria" w:eastAsia="Cambria" w:hAnsi="Cambria" w:cs="Times New Roman"/>
      <w:sz w:val="20"/>
      <w:szCs w:val="22"/>
      <w:lang w:val="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911E5B"/>
    <w:rPr>
      <w:rFonts w:ascii="Cambria" w:eastAsia="Cambria" w:hAnsi="Cambria" w:cs="Times New Roman"/>
      <w:sz w:val="20"/>
      <w:szCs w:val="20"/>
    </w:rPr>
  </w:style>
  <w:style w:type="character" w:customStyle="1" w:styleId="FootnoteTextChar">
    <w:name w:val="Footnote Text Char"/>
    <w:basedOn w:val="DefaultParagraphFont"/>
    <w:link w:val="FootnoteText"/>
    <w:uiPriority w:val="99"/>
    <w:semiHidden/>
    <w:rsid w:val="00911E5B"/>
    <w:rPr>
      <w:rFonts w:ascii="Cambria" w:eastAsia="Cambria" w:hAnsi="Cambria" w:cs="Times New Roman"/>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74967"/>
    <w:pPr>
      <w:tabs>
        <w:tab w:val="center" w:pos="4320"/>
        <w:tab w:val="right" w:pos="8640"/>
      </w:tabs>
    </w:pPr>
  </w:style>
  <w:style w:type="character" w:customStyle="1" w:styleId="FooterChar">
    <w:name w:val="Footer Char"/>
    <w:basedOn w:val="DefaultParagraphFont"/>
    <w:link w:val="Footer"/>
    <w:uiPriority w:val="99"/>
    <w:rsid w:val="00E74967"/>
    <w:rPr>
      <w:lang w:val="en-GB"/>
    </w:rPr>
  </w:style>
  <w:style w:type="character" w:styleId="PageNumber">
    <w:name w:val="page number"/>
    <w:basedOn w:val="DefaultParagraphFont"/>
    <w:uiPriority w:val="99"/>
    <w:semiHidden/>
    <w:unhideWhenUsed/>
    <w:rsid w:val="00E74967"/>
  </w:style>
  <w:style w:type="paragraph" w:styleId="BalloonText">
    <w:name w:val="Balloon Text"/>
    <w:basedOn w:val="Normal"/>
    <w:link w:val="BalloonTextChar"/>
    <w:uiPriority w:val="99"/>
    <w:semiHidden/>
    <w:unhideWhenUsed/>
    <w:rsid w:val="00E749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4967"/>
    <w:rPr>
      <w:rFonts w:ascii="Lucida Grande" w:hAnsi="Lucida Grande" w:cs="Lucida Grande"/>
      <w:sz w:val="18"/>
      <w:szCs w:val="18"/>
      <w:lang w:val="en-GB"/>
    </w:rPr>
  </w:style>
  <w:style w:type="table" w:styleId="TableGrid">
    <w:name w:val="Table Grid"/>
    <w:basedOn w:val="TableNormal"/>
    <w:uiPriority w:val="99"/>
    <w:rsid w:val="007F6CC1"/>
    <w:rPr>
      <w:rFonts w:ascii="Cambria" w:eastAsia="Cambria" w:hAnsi="Cambria" w:cs="Times New Roman"/>
      <w:sz w:val="20"/>
      <w:szCs w:val="22"/>
      <w:lang w:val="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911E5B"/>
    <w:rPr>
      <w:rFonts w:ascii="Cambria" w:eastAsia="Cambria" w:hAnsi="Cambria" w:cs="Times New Roman"/>
      <w:sz w:val="20"/>
      <w:szCs w:val="20"/>
    </w:rPr>
  </w:style>
  <w:style w:type="character" w:customStyle="1" w:styleId="FootnoteTextChar">
    <w:name w:val="Footnote Text Char"/>
    <w:basedOn w:val="DefaultParagraphFont"/>
    <w:link w:val="FootnoteText"/>
    <w:uiPriority w:val="99"/>
    <w:semiHidden/>
    <w:rsid w:val="00911E5B"/>
    <w:rPr>
      <w:rFonts w:ascii="Cambria" w:eastAsia="Cambria" w:hAnsi="Cambria"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86343">
      <w:bodyDiv w:val="1"/>
      <w:marLeft w:val="0"/>
      <w:marRight w:val="0"/>
      <w:marTop w:val="0"/>
      <w:marBottom w:val="0"/>
      <w:divBdr>
        <w:top w:val="none" w:sz="0" w:space="0" w:color="auto"/>
        <w:left w:val="none" w:sz="0" w:space="0" w:color="auto"/>
        <w:bottom w:val="none" w:sz="0" w:space="0" w:color="auto"/>
        <w:right w:val="none" w:sz="0" w:space="0" w:color="auto"/>
      </w:divBdr>
    </w:div>
    <w:div w:id="173963909">
      <w:bodyDiv w:val="1"/>
      <w:marLeft w:val="0"/>
      <w:marRight w:val="0"/>
      <w:marTop w:val="0"/>
      <w:marBottom w:val="0"/>
      <w:divBdr>
        <w:top w:val="none" w:sz="0" w:space="0" w:color="auto"/>
        <w:left w:val="none" w:sz="0" w:space="0" w:color="auto"/>
        <w:bottom w:val="none" w:sz="0" w:space="0" w:color="auto"/>
        <w:right w:val="none" w:sz="0" w:space="0" w:color="auto"/>
      </w:divBdr>
    </w:div>
    <w:div w:id="196545984">
      <w:bodyDiv w:val="1"/>
      <w:marLeft w:val="0"/>
      <w:marRight w:val="0"/>
      <w:marTop w:val="0"/>
      <w:marBottom w:val="0"/>
      <w:divBdr>
        <w:top w:val="none" w:sz="0" w:space="0" w:color="auto"/>
        <w:left w:val="none" w:sz="0" w:space="0" w:color="auto"/>
        <w:bottom w:val="none" w:sz="0" w:space="0" w:color="auto"/>
        <w:right w:val="none" w:sz="0" w:space="0" w:color="auto"/>
      </w:divBdr>
    </w:div>
    <w:div w:id="201946481">
      <w:bodyDiv w:val="1"/>
      <w:marLeft w:val="0"/>
      <w:marRight w:val="0"/>
      <w:marTop w:val="0"/>
      <w:marBottom w:val="0"/>
      <w:divBdr>
        <w:top w:val="none" w:sz="0" w:space="0" w:color="auto"/>
        <w:left w:val="none" w:sz="0" w:space="0" w:color="auto"/>
        <w:bottom w:val="none" w:sz="0" w:space="0" w:color="auto"/>
        <w:right w:val="none" w:sz="0" w:space="0" w:color="auto"/>
      </w:divBdr>
    </w:div>
    <w:div w:id="219369429">
      <w:bodyDiv w:val="1"/>
      <w:marLeft w:val="0"/>
      <w:marRight w:val="0"/>
      <w:marTop w:val="0"/>
      <w:marBottom w:val="0"/>
      <w:divBdr>
        <w:top w:val="none" w:sz="0" w:space="0" w:color="auto"/>
        <w:left w:val="none" w:sz="0" w:space="0" w:color="auto"/>
        <w:bottom w:val="none" w:sz="0" w:space="0" w:color="auto"/>
        <w:right w:val="none" w:sz="0" w:space="0" w:color="auto"/>
      </w:divBdr>
    </w:div>
    <w:div w:id="258568927">
      <w:bodyDiv w:val="1"/>
      <w:marLeft w:val="0"/>
      <w:marRight w:val="0"/>
      <w:marTop w:val="0"/>
      <w:marBottom w:val="0"/>
      <w:divBdr>
        <w:top w:val="none" w:sz="0" w:space="0" w:color="auto"/>
        <w:left w:val="none" w:sz="0" w:space="0" w:color="auto"/>
        <w:bottom w:val="none" w:sz="0" w:space="0" w:color="auto"/>
        <w:right w:val="none" w:sz="0" w:space="0" w:color="auto"/>
      </w:divBdr>
    </w:div>
    <w:div w:id="436675348">
      <w:bodyDiv w:val="1"/>
      <w:marLeft w:val="0"/>
      <w:marRight w:val="0"/>
      <w:marTop w:val="0"/>
      <w:marBottom w:val="0"/>
      <w:divBdr>
        <w:top w:val="none" w:sz="0" w:space="0" w:color="auto"/>
        <w:left w:val="none" w:sz="0" w:space="0" w:color="auto"/>
        <w:bottom w:val="none" w:sz="0" w:space="0" w:color="auto"/>
        <w:right w:val="none" w:sz="0" w:space="0" w:color="auto"/>
      </w:divBdr>
    </w:div>
    <w:div w:id="677733343">
      <w:bodyDiv w:val="1"/>
      <w:marLeft w:val="0"/>
      <w:marRight w:val="0"/>
      <w:marTop w:val="0"/>
      <w:marBottom w:val="0"/>
      <w:divBdr>
        <w:top w:val="none" w:sz="0" w:space="0" w:color="auto"/>
        <w:left w:val="none" w:sz="0" w:space="0" w:color="auto"/>
        <w:bottom w:val="none" w:sz="0" w:space="0" w:color="auto"/>
        <w:right w:val="none" w:sz="0" w:space="0" w:color="auto"/>
      </w:divBdr>
    </w:div>
    <w:div w:id="980232330">
      <w:bodyDiv w:val="1"/>
      <w:marLeft w:val="0"/>
      <w:marRight w:val="0"/>
      <w:marTop w:val="0"/>
      <w:marBottom w:val="0"/>
      <w:divBdr>
        <w:top w:val="none" w:sz="0" w:space="0" w:color="auto"/>
        <w:left w:val="none" w:sz="0" w:space="0" w:color="auto"/>
        <w:bottom w:val="none" w:sz="0" w:space="0" w:color="auto"/>
        <w:right w:val="none" w:sz="0" w:space="0" w:color="auto"/>
      </w:divBdr>
    </w:div>
    <w:div w:id="1187864437">
      <w:bodyDiv w:val="1"/>
      <w:marLeft w:val="0"/>
      <w:marRight w:val="0"/>
      <w:marTop w:val="0"/>
      <w:marBottom w:val="0"/>
      <w:divBdr>
        <w:top w:val="none" w:sz="0" w:space="0" w:color="auto"/>
        <w:left w:val="none" w:sz="0" w:space="0" w:color="auto"/>
        <w:bottom w:val="none" w:sz="0" w:space="0" w:color="auto"/>
        <w:right w:val="none" w:sz="0" w:space="0" w:color="auto"/>
      </w:divBdr>
    </w:div>
    <w:div w:id="1315329246">
      <w:bodyDiv w:val="1"/>
      <w:marLeft w:val="0"/>
      <w:marRight w:val="0"/>
      <w:marTop w:val="0"/>
      <w:marBottom w:val="0"/>
      <w:divBdr>
        <w:top w:val="none" w:sz="0" w:space="0" w:color="auto"/>
        <w:left w:val="none" w:sz="0" w:space="0" w:color="auto"/>
        <w:bottom w:val="none" w:sz="0" w:space="0" w:color="auto"/>
        <w:right w:val="none" w:sz="0" w:space="0" w:color="auto"/>
      </w:divBdr>
    </w:div>
    <w:div w:id="1459835416">
      <w:bodyDiv w:val="1"/>
      <w:marLeft w:val="0"/>
      <w:marRight w:val="0"/>
      <w:marTop w:val="0"/>
      <w:marBottom w:val="0"/>
      <w:divBdr>
        <w:top w:val="none" w:sz="0" w:space="0" w:color="auto"/>
        <w:left w:val="none" w:sz="0" w:space="0" w:color="auto"/>
        <w:bottom w:val="none" w:sz="0" w:space="0" w:color="auto"/>
        <w:right w:val="none" w:sz="0" w:space="0" w:color="auto"/>
      </w:divBdr>
    </w:div>
    <w:div w:id="1559052505">
      <w:bodyDiv w:val="1"/>
      <w:marLeft w:val="0"/>
      <w:marRight w:val="0"/>
      <w:marTop w:val="0"/>
      <w:marBottom w:val="0"/>
      <w:divBdr>
        <w:top w:val="none" w:sz="0" w:space="0" w:color="auto"/>
        <w:left w:val="none" w:sz="0" w:space="0" w:color="auto"/>
        <w:bottom w:val="none" w:sz="0" w:space="0" w:color="auto"/>
        <w:right w:val="none" w:sz="0" w:space="0" w:color="auto"/>
      </w:divBdr>
    </w:div>
    <w:div w:id="1881354206">
      <w:bodyDiv w:val="1"/>
      <w:marLeft w:val="0"/>
      <w:marRight w:val="0"/>
      <w:marTop w:val="0"/>
      <w:marBottom w:val="0"/>
      <w:divBdr>
        <w:top w:val="none" w:sz="0" w:space="0" w:color="auto"/>
        <w:left w:val="none" w:sz="0" w:space="0" w:color="auto"/>
        <w:bottom w:val="none" w:sz="0" w:space="0" w:color="auto"/>
        <w:right w:val="none" w:sz="0" w:space="0" w:color="auto"/>
      </w:divBdr>
    </w:div>
    <w:div w:id="20062831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chart" Target="charts/chart4.xml"/><Relationship Id="rId12" Type="http://schemas.openxmlformats.org/officeDocument/2006/relationships/chart" Target="charts/chart5.xml"/><Relationship Id="rId13" Type="http://schemas.openxmlformats.org/officeDocument/2006/relationships/chart" Target="charts/chart6.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hart" Target="charts/chart1.xml"/><Relationship Id="rId8" Type="http://schemas.openxmlformats.org/officeDocument/2006/relationships/chart" Target="charts/chart2.xml"/><Relationship Id="rId9" Type="http://schemas.openxmlformats.org/officeDocument/2006/relationships/chart" Target="charts/chart3.xml"/><Relationship Id="rId10"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carchedi:Documents:mac%20current:work%20in%20progress%20mac%201:Crisis%20and%20the%20law%20HM:statistics%20deflated:untitled.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carchedi:Documents:mac%20current:work%20in%20progress%20mac%201:Crisis%20and%20the%20law%20HM:statistics%20deflated:Copia%20di%20ARP%20and%20OCC.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acintosh%20HD:Users:carchedi:Documents:mac%20current:work%20in%20progress%20mac%201:Crisis%20and%20the%20law%20HM:statistics%20deflated:ARP%20value%20and%20money.xlsx" TargetMode="External"/></Relationships>
</file>

<file path=word/charts/_rels/chart4.xml.rels><?xml version="1.0" encoding="UTF-8" standalone="yes"?>
<Relationships xmlns="http://schemas.openxmlformats.org/package/2006/relationships"><Relationship Id="rId1" Type="http://schemas.openxmlformats.org/officeDocument/2006/relationships/themeOverride" Target="../theme/themeOverride1.xml"/><Relationship Id="rId2" Type="http://schemas.openxmlformats.org/officeDocument/2006/relationships/oleObject" Target="Macintosh%20HD:Users:carchedi:Documents:mac%20current:work%20in%20progress%20mac%201:Crisis%20and%20the%20law%20HM:statistics%20deflated:8%20ARP%20with%20constant%20rate%20of%20ex..xlsx" TargetMode="External"/></Relationships>
</file>

<file path=word/charts/_rels/chart5.xml.rels><?xml version="1.0" encoding="UTF-8" standalone="yes"?>
<Relationships xmlns="http://schemas.openxmlformats.org/package/2006/relationships"><Relationship Id="rId1" Type="http://schemas.openxmlformats.org/officeDocument/2006/relationships/themeOverride" Target="../theme/themeOverride2.xml"/><Relationship Id="rId2" Type="http://schemas.openxmlformats.org/officeDocument/2006/relationships/oleObject" Target="Macintosh%20HD:Users:carchedi:Documents:mac%20current:work%20in%20progress%20mac%201:Crisis%20and%20the%20law%20HM:statistics%20deflated:7%20ARP%20and%20OCC.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Macintosh%20HD:Users:carchedi:Documents:mac%20current:work%20in%20progress%20mac%201:Crisis%20and%20the%20law%20HM:statistics%20deflated:Non-Fin%20ARP,%20prod%20ARP%20mony%20suppl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7"/>
    </mc:Choice>
    <mc:Fallback>
      <c:style val="17"/>
    </mc:Fallback>
  </mc:AlternateContent>
  <c:chart>
    <c:autoTitleDeleted val="0"/>
    <c:plotArea>
      <c:layout/>
      <c:lineChart>
        <c:grouping val="standard"/>
        <c:varyColors val="0"/>
        <c:ser>
          <c:idx val="0"/>
          <c:order val="0"/>
          <c:tx>
            <c:strRef>
              <c:f>[untitled.xlsx]Sheet1!$Q$7</c:f>
              <c:strCache>
                <c:ptCount val="1"/>
                <c:pt idx="0">
                  <c:v>L/A LHS</c:v>
                </c:pt>
              </c:strCache>
            </c:strRef>
          </c:tx>
          <c:spPr>
            <a:ln w="19050" cmpd="sng"/>
          </c:spPr>
          <c:marker>
            <c:symbol val="none"/>
          </c:marker>
          <c:cat>
            <c:numRef>
              <c:f>[untitled.xlsx]Sheet1!$P$8:$P$66</c:f>
              <c:numCache>
                <c:formatCode>General</c:formatCode>
                <c:ptCount val="59"/>
                <c:pt idx="0">
                  <c:v>1947.0</c:v>
                </c:pt>
                <c:pt idx="1">
                  <c:v>1948.0</c:v>
                </c:pt>
                <c:pt idx="2">
                  <c:v>1949.0</c:v>
                </c:pt>
                <c:pt idx="3">
                  <c:v>1950.0</c:v>
                </c:pt>
                <c:pt idx="4">
                  <c:v>1951.0</c:v>
                </c:pt>
                <c:pt idx="5">
                  <c:v>1952.0</c:v>
                </c:pt>
                <c:pt idx="6">
                  <c:v>1953.0</c:v>
                </c:pt>
                <c:pt idx="7">
                  <c:v>1954.0</c:v>
                </c:pt>
                <c:pt idx="8">
                  <c:v>1955.0</c:v>
                </c:pt>
                <c:pt idx="9">
                  <c:v>1956.0</c:v>
                </c:pt>
                <c:pt idx="10">
                  <c:v>1957.0</c:v>
                </c:pt>
                <c:pt idx="11">
                  <c:v>1958.0</c:v>
                </c:pt>
                <c:pt idx="12">
                  <c:v>1964.0</c:v>
                </c:pt>
                <c:pt idx="13">
                  <c:v>1965.0</c:v>
                </c:pt>
                <c:pt idx="14">
                  <c:v>1966.0</c:v>
                </c:pt>
                <c:pt idx="15">
                  <c:v>1967.0</c:v>
                </c:pt>
                <c:pt idx="16">
                  <c:v>1968.0</c:v>
                </c:pt>
                <c:pt idx="17">
                  <c:v>1969.0</c:v>
                </c:pt>
                <c:pt idx="18">
                  <c:v>1970.0</c:v>
                </c:pt>
                <c:pt idx="19">
                  <c:v>1971.0</c:v>
                </c:pt>
                <c:pt idx="20">
                  <c:v>1972.0</c:v>
                </c:pt>
                <c:pt idx="21">
                  <c:v>1973.0</c:v>
                </c:pt>
                <c:pt idx="22">
                  <c:v>1974.0</c:v>
                </c:pt>
                <c:pt idx="23">
                  <c:v>1975.0</c:v>
                </c:pt>
                <c:pt idx="24">
                  <c:v>1976.0</c:v>
                </c:pt>
                <c:pt idx="25">
                  <c:v>1977.0</c:v>
                </c:pt>
                <c:pt idx="26">
                  <c:v>1978.0</c:v>
                </c:pt>
                <c:pt idx="27">
                  <c:v>1979.0</c:v>
                </c:pt>
                <c:pt idx="28">
                  <c:v>1980.0</c:v>
                </c:pt>
                <c:pt idx="29">
                  <c:v>1981.0</c:v>
                </c:pt>
                <c:pt idx="30">
                  <c:v>1982.0</c:v>
                </c:pt>
                <c:pt idx="31">
                  <c:v>1983.0</c:v>
                </c:pt>
                <c:pt idx="32">
                  <c:v>1984.0</c:v>
                </c:pt>
                <c:pt idx="33">
                  <c:v>1985.0</c:v>
                </c:pt>
                <c:pt idx="34">
                  <c:v>1986.0</c:v>
                </c:pt>
                <c:pt idx="35">
                  <c:v>1987.0</c:v>
                </c:pt>
                <c:pt idx="36">
                  <c:v>1988.0</c:v>
                </c:pt>
                <c:pt idx="37">
                  <c:v>1989.0</c:v>
                </c:pt>
                <c:pt idx="38">
                  <c:v>1990.0</c:v>
                </c:pt>
                <c:pt idx="39">
                  <c:v>1991.0</c:v>
                </c:pt>
                <c:pt idx="40">
                  <c:v>1992.0</c:v>
                </c:pt>
                <c:pt idx="41">
                  <c:v>1993.0</c:v>
                </c:pt>
                <c:pt idx="42">
                  <c:v>1994.0</c:v>
                </c:pt>
                <c:pt idx="43">
                  <c:v>1995.0</c:v>
                </c:pt>
                <c:pt idx="44">
                  <c:v>1996.0</c:v>
                </c:pt>
                <c:pt idx="45">
                  <c:v>1997.0</c:v>
                </c:pt>
                <c:pt idx="46">
                  <c:v>1998.0</c:v>
                </c:pt>
                <c:pt idx="47">
                  <c:v>1999.0</c:v>
                </c:pt>
                <c:pt idx="48">
                  <c:v>2000.0</c:v>
                </c:pt>
                <c:pt idx="49">
                  <c:v>2001.0</c:v>
                </c:pt>
                <c:pt idx="50">
                  <c:v>2002.0</c:v>
                </c:pt>
                <c:pt idx="51">
                  <c:v>2003.0</c:v>
                </c:pt>
                <c:pt idx="52">
                  <c:v>2004.0</c:v>
                </c:pt>
                <c:pt idx="53">
                  <c:v>2005.0</c:v>
                </c:pt>
                <c:pt idx="54">
                  <c:v>2006.0</c:v>
                </c:pt>
                <c:pt idx="55">
                  <c:v>2007.0</c:v>
                </c:pt>
                <c:pt idx="56">
                  <c:v>2008.0</c:v>
                </c:pt>
                <c:pt idx="57">
                  <c:v>2009.0</c:v>
                </c:pt>
                <c:pt idx="58">
                  <c:v>2010.0</c:v>
                </c:pt>
              </c:numCache>
            </c:numRef>
          </c:cat>
          <c:val>
            <c:numRef>
              <c:f>[untitled.xlsx]Sheet1!$Q$8:$Q$66</c:f>
              <c:numCache>
                <c:formatCode>General</c:formatCode>
                <c:ptCount val="59"/>
                <c:pt idx="0">
                  <c:v>75.38657495219867</c:v>
                </c:pt>
                <c:pt idx="1">
                  <c:v>71.2548172818792</c:v>
                </c:pt>
                <c:pt idx="2">
                  <c:v>62.43545</c:v>
                </c:pt>
                <c:pt idx="3">
                  <c:v>66.30582578347578</c:v>
                </c:pt>
                <c:pt idx="4">
                  <c:v>66.97196354300383</c:v>
                </c:pt>
                <c:pt idx="5">
                  <c:v>65.4446479532164</c:v>
                </c:pt>
                <c:pt idx="6">
                  <c:v>59.41772551130228</c:v>
                </c:pt>
                <c:pt idx="7">
                  <c:v>54.17457482376629</c:v>
                </c:pt>
                <c:pt idx="8">
                  <c:v>54.29425714285714</c:v>
                </c:pt>
                <c:pt idx="9">
                  <c:v>54.29425714285714</c:v>
                </c:pt>
                <c:pt idx="10">
                  <c:v>54.8301412987013</c:v>
                </c:pt>
                <c:pt idx="11">
                  <c:v>51.0329389288569</c:v>
                </c:pt>
                <c:pt idx="12">
                  <c:v>38.88050747451853</c:v>
                </c:pt>
                <c:pt idx="13">
                  <c:v>38.24012209424083</c:v>
                </c:pt>
                <c:pt idx="14">
                  <c:v>36.9226604116801</c:v>
                </c:pt>
                <c:pt idx="15">
                  <c:v>35.19945524444445</c:v>
                </c:pt>
                <c:pt idx="16">
                  <c:v>35.147044736842</c:v>
                </c:pt>
                <c:pt idx="17">
                  <c:v>34.40148079161794</c:v>
                </c:pt>
                <c:pt idx="18">
                  <c:v>32.02094985433357</c:v>
                </c:pt>
                <c:pt idx="19">
                  <c:v>31.86804482401656</c:v>
                </c:pt>
                <c:pt idx="20">
                  <c:v>32.51006527958388</c:v>
                </c:pt>
                <c:pt idx="21">
                  <c:v>32.72303243814121</c:v>
                </c:pt>
                <c:pt idx="22">
                  <c:v>30.49011547293604</c:v>
                </c:pt>
                <c:pt idx="23">
                  <c:v>30.45855231722429</c:v>
                </c:pt>
                <c:pt idx="24">
                  <c:v>30.19490688954145</c:v>
                </c:pt>
                <c:pt idx="25">
                  <c:v>30.5068819328586</c:v>
                </c:pt>
                <c:pt idx="26">
                  <c:v>30.44295624214118</c:v>
                </c:pt>
                <c:pt idx="27">
                  <c:v>29.20519295195955</c:v>
                </c:pt>
                <c:pt idx="28">
                  <c:v>27.18652236180904</c:v>
                </c:pt>
                <c:pt idx="29">
                  <c:v>25.30527248062016</c:v>
                </c:pt>
                <c:pt idx="30">
                  <c:v>22.224893082591</c:v>
                </c:pt>
                <c:pt idx="31">
                  <c:v>21.98639642931719</c:v>
                </c:pt>
                <c:pt idx="32">
                  <c:v>21.35019550660793</c:v>
                </c:pt>
                <c:pt idx="33">
                  <c:v>20.20772071071627</c:v>
                </c:pt>
                <c:pt idx="34">
                  <c:v>19.79074771353838</c:v>
                </c:pt>
                <c:pt idx="35">
                  <c:v>20.04138837271038</c:v>
                </c:pt>
                <c:pt idx="36">
                  <c:v>20.15717749096541</c:v>
                </c:pt>
                <c:pt idx="37">
                  <c:v>19.66610632587331</c:v>
                </c:pt>
                <c:pt idx="38">
                  <c:v>18.56361501657982</c:v>
                </c:pt>
                <c:pt idx="39">
                  <c:v>17.4518672453175</c:v>
                </c:pt>
                <c:pt idx="40">
                  <c:v>16.66499631575054</c:v>
                </c:pt>
                <c:pt idx="41">
                  <c:v>16.33614577384352</c:v>
                </c:pt>
                <c:pt idx="42">
                  <c:v>16.13527294518216</c:v>
                </c:pt>
                <c:pt idx="43">
                  <c:v>15.31212217302015</c:v>
                </c:pt>
                <c:pt idx="44">
                  <c:v>14.45552760595647</c:v>
                </c:pt>
                <c:pt idx="45">
                  <c:v>13.77417768820256</c:v>
                </c:pt>
                <c:pt idx="46">
                  <c:v>12.90182556326289</c:v>
                </c:pt>
                <c:pt idx="47">
                  <c:v>12.28683182217627</c:v>
                </c:pt>
                <c:pt idx="48">
                  <c:v>11.79938951756998</c:v>
                </c:pt>
                <c:pt idx="49">
                  <c:v>10.65967833317358</c:v>
                </c:pt>
                <c:pt idx="50">
                  <c:v>10.01925799660921</c:v>
                </c:pt>
                <c:pt idx="51">
                  <c:v>9.612205942660973</c:v>
                </c:pt>
                <c:pt idx="52">
                  <c:v>9.618564964788731</c:v>
                </c:pt>
                <c:pt idx="53">
                  <c:v>9.635627530364372</c:v>
                </c:pt>
                <c:pt idx="54">
                  <c:v>9.3397298931667</c:v>
                </c:pt>
                <c:pt idx="55">
                  <c:v>8.663868121406698</c:v>
                </c:pt>
                <c:pt idx="56">
                  <c:v>7.554807168260765</c:v>
                </c:pt>
                <c:pt idx="57">
                  <c:v>6.446900081317341</c:v>
                </c:pt>
                <c:pt idx="58">
                  <c:v>6.169232452792947</c:v>
                </c:pt>
              </c:numCache>
            </c:numRef>
          </c:val>
          <c:smooth val="0"/>
        </c:ser>
        <c:ser>
          <c:idx val="1"/>
          <c:order val="1"/>
          <c:tx>
            <c:strRef>
              <c:f>[untitled.xlsx]Sheet1!$R$7</c:f>
              <c:strCache>
                <c:ptCount val="1"/>
                <c:pt idx="0">
                  <c:v>productivity RHS</c:v>
                </c:pt>
              </c:strCache>
            </c:strRef>
          </c:tx>
          <c:spPr>
            <a:ln w="19050" cap="flat" cmpd="sng">
              <a:solidFill>
                <a:schemeClr val="dk1">
                  <a:tint val="55000"/>
                  <a:shade val="95000"/>
                  <a:satMod val="105000"/>
                </a:schemeClr>
              </a:solidFill>
              <a:prstDash val="solid"/>
              <a:round/>
            </a:ln>
          </c:spPr>
          <c:marker>
            <c:symbol val="none"/>
          </c:marker>
          <c:cat>
            <c:numRef>
              <c:f>[untitled.xlsx]Sheet1!$P$8:$P$66</c:f>
              <c:numCache>
                <c:formatCode>General</c:formatCode>
                <c:ptCount val="59"/>
                <c:pt idx="0">
                  <c:v>1947.0</c:v>
                </c:pt>
                <c:pt idx="1">
                  <c:v>1948.0</c:v>
                </c:pt>
                <c:pt idx="2">
                  <c:v>1949.0</c:v>
                </c:pt>
                <c:pt idx="3">
                  <c:v>1950.0</c:v>
                </c:pt>
                <c:pt idx="4">
                  <c:v>1951.0</c:v>
                </c:pt>
                <c:pt idx="5">
                  <c:v>1952.0</c:v>
                </c:pt>
                <c:pt idx="6">
                  <c:v>1953.0</c:v>
                </c:pt>
                <c:pt idx="7">
                  <c:v>1954.0</c:v>
                </c:pt>
                <c:pt idx="8">
                  <c:v>1955.0</c:v>
                </c:pt>
                <c:pt idx="9">
                  <c:v>1956.0</c:v>
                </c:pt>
                <c:pt idx="10">
                  <c:v>1957.0</c:v>
                </c:pt>
                <c:pt idx="11">
                  <c:v>1958.0</c:v>
                </c:pt>
                <c:pt idx="12">
                  <c:v>1964.0</c:v>
                </c:pt>
                <c:pt idx="13">
                  <c:v>1965.0</c:v>
                </c:pt>
                <c:pt idx="14">
                  <c:v>1966.0</c:v>
                </c:pt>
                <c:pt idx="15">
                  <c:v>1967.0</c:v>
                </c:pt>
                <c:pt idx="16">
                  <c:v>1968.0</c:v>
                </c:pt>
                <c:pt idx="17">
                  <c:v>1969.0</c:v>
                </c:pt>
                <c:pt idx="18">
                  <c:v>1970.0</c:v>
                </c:pt>
                <c:pt idx="19">
                  <c:v>1971.0</c:v>
                </c:pt>
                <c:pt idx="20">
                  <c:v>1972.0</c:v>
                </c:pt>
                <c:pt idx="21">
                  <c:v>1973.0</c:v>
                </c:pt>
                <c:pt idx="22">
                  <c:v>1974.0</c:v>
                </c:pt>
                <c:pt idx="23">
                  <c:v>1975.0</c:v>
                </c:pt>
                <c:pt idx="24">
                  <c:v>1976.0</c:v>
                </c:pt>
                <c:pt idx="25">
                  <c:v>1977.0</c:v>
                </c:pt>
                <c:pt idx="26">
                  <c:v>1978.0</c:v>
                </c:pt>
                <c:pt idx="27">
                  <c:v>1979.0</c:v>
                </c:pt>
                <c:pt idx="28">
                  <c:v>1980.0</c:v>
                </c:pt>
                <c:pt idx="29">
                  <c:v>1981.0</c:v>
                </c:pt>
                <c:pt idx="30">
                  <c:v>1982.0</c:v>
                </c:pt>
                <c:pt idx="31">
                  <c:v>1983.0</c:v>
                </c:pt>
                <c:pt idx="32">
                  <c:v>1984.0</c:v>
                </c:pt>
                <c:pt idx="33">
                  <c:v>1985.0</c:v>
                </c:pt>
                <c:pt idx="34">
                  <c:v>1986.0</c:v>
                </c:pt>
                <c:pt idx="35">
                  <c:v>1987.0</c:v>
                </c:pt>
                <c:pt idx="36">
                  <c:v>1988.0</c:v>
                </c:pt>
                <c:pt idx="37">
                  <c:v>1989.0</c:v>
                </c:pt>
                <c:pt idx="38">
                  <c:v>1990.0</c:v>
                </c:pt>
                <c:pt idx="39">
                  <c:v>1991.0</c:v>
                </c:pt>
                <c:pt idx="40">
                  <c:v>1992.0</c:v>
                </c:pt>
                <c:pt idx="41">
                  <c:v>1993.0</c:v>
                </c:pt>
                <c:pt idx="42">
                  <c:v>1994.0</c:v>
                </c:pt>
                <c:pt idx="43">
                  <c:v>1995.0</c:v>
                </c:pt>
                <c:pt idx="44">
                  <c:v>1996.0</c:v>
                </c:pt>
                <c:pt idx="45">
                  <c:v>1997.0</c:v>
                </c:pt>
                <c:pt idx="46">
                  <c:v>1998.0</c:v>
                </c:pt>
                <c:pt idx="47">
                  <c:v>1999.0</c:v>
                </c:pt>
                <c:pt idx="48">
                  <c:v>2000.0</c:v>
                </c:pt>
                <c:pt idx="49">
                  <c:v>2001.0</c:v>
                </c:pt>
                <c:pt idx="50">
                  <c:v>2002.0</c:v>
                </c:pt>
                <c:pt idx="51">
                  <c:v>2003.0</c:v>
                </c:pt>
                <c:pt idx="52">
                  <c:v>2004.0</c:v>
                </c:pt>
                <c:pt idx="53">
                  <c:v>2005.0</c:v>
                </c:pt>
                <c:pt idx="54">
                  <c:v>2006.0</c:v>
                </c:pt>
                <c:pt idx="55">
                  <c:v>2007.0</c:v>
                </c:pt>
                <c:pt idx="56">
                  <c:v>2008.0</c:v>
                </c:pt>
                <c:pt idx="57">
                  <c:v>2009.0</c:v>
                </c:pt>
                <c:pt idx="58">
                  <c:v>2010.0</c:v>
                </c:pt>
              </c:numCache>
            </c:numRef>
          </c:cat>
          <c:val>
            <c:numRef>
              <c:f>[untitled.xlsx]Sheet1!$R$8:$R$66</c:f>
              <c:numCache>
                <c:formatCode>General</c:formatCode>
                <c:ptCount val="59"/>
                <c:pt idx="0">
                  <c:v>28.95090104331177</c:v>
                </c:pt>
                <c:pt idx="1">
                  <c:v>30.87072164678326</c:v>
                </c:pt>
                <c:pt idx="2">
                  <c:v>33.52856004737787</c:v>
                </c:pt>
                <c:pt idx="3">
                  <c:v>30.56437915682264</c:v>
                </c:pt>
                <c:pt idx="4">
                  <c:v>32.05166277919046</c:v>
                </c:pt>
                <c:pt idx="5">
                  <c:v>34.0729943445527</c:v>
                </c:pt>
                <c:pt idx="6">
                  <c:v>37.95009841094332</c:v>
                </c:pt>
                <c:pt idx="7">
                  <c:v>39.44138907555603</c:v>
                </c:pt>
                <c:pt idx="8">
                  <c:v>40.08233499376021</c:v>
                </c:pt>
                <c:pt idx="9">
                  <c:v>42.50255454208917</c:v>
                </c:pt>
                <c:pt idx="10">
                  <c:v>43.30960692161251</c:v>
                </c:pt>
                <c:pt idx="11">
                  <c:v>44.50352587811751</c:v>
                </c:pt>
                <c:pt idx="12">
                  <c:v>53.27145647472987</c:v>
                </c:pt>
                <c:pt idx="13">
                  <c:v>54.09596911269177</c:v>
                </c:pt>
                <c:pt idx="14">
                  <c:v>56.05084112157898</c:v>
                </c:pt>
                <c:pt idx="15">
                  <c:v>58.13963472590657</c:v>
                </c:pt>
                <c:pt idx="16">
                  <c:v>58.94442392101545</c:v>
                </c:pt>
                <c:pt idx="17">
                  <c:v>60.64965862404684</c:v>
                </c:pt>
                <c:pt idx="18">
                  <c:v>63.87937215851021</c:v>
                </c:pt>
                <c:pt idx="19">
                  <c:v>63.81500809518219</c:v>
                </c:pt>
                <c:pt idx="20">
                  <c:v>63.71205698571165</c:v>
                </c:pt>
                <c:pt idx="21">
                  <c:v>63.95500448768914</c:v>
                </c:pt>
                <c:pt idx="22">
                  <c:v>67.0004928214743</c:v>
                </c:pt>
                <c:pt idx="23">
                  <c:v>65.57546698359101</c:v>
                </c:pt>
                <c:pt idx="24">
                  <c:v>62.12494281367732</c:v>
                </c:pt>
                <c:pt idx="25">
                  <c:v>67.3140910832162</c:v>
                </c:pt>
                <c:pt idx="26">
                  <c:v>67.65676555301899</c:v>
                </c:pt>
                <c:pt idx="27">
                  <c:v>69.72458917799858</c:v>
                </c:pt>
                <c:pt idx="28">
                  <c:v>71.9508252663074</c:v>
                </c:pt>
                <c:pt idx="29">
                  <c:v>75.95057980928698</c:v>
                </c:pt>
                <c:pt idx="30">
                  <c:v>83.71671499414192</c:v>
                </c:pt>
                <c:pt idx="31">
                  <c:v>82.53076977775728</c:v>
                </c:pt>
                <c:pt idx="32">
                  <c:v>85.7473249972579</c:v>
                </c:pt>
                <c:pt idx="33">
                  <c:v>90.19802052726385</c:v>
                </c:pt>
                <c:pt idx="34">
                  <c:v>95.29705667058103</c:v>
                </c:pt>
                <c:pt idx="35">
                  <c:v>91.63121109524642</c:v>
                </c:pt>
                <c:pt idx="36">
                  <c:v>92.6479209213737</c:v>
                </c:pt>
                <c:pt idx="37">
                  <c:v>96.0494243860786</c:v>
                </c:pt>
                <c:pt idx="38">
                  <c:v>97.85885285561832</c:v>
                </c:pt>
                <c:pt idx="39">
                  <c:v>101.6620200201304</c:v>
                </c:pt>
                <c:pt idx="40">
                  <c:v>105.4198282181117</c:v>
                </c:pt>
                <c:pt idx="41">
                  <c:v>106.4443953844421</c:v>
                </c:pt>
                <c:pt idx="42">
                  <c:v>107.8546459624011</c:v>
                </c:pt>
                <c:pt idx="43">
                  <c:v>112.7009671867196</c:v>
                </c:pt>
                <c:pt idx="44">
                  <c:v>117.6042348676</c:v>
                </c:pt>
                <c:pt idx="45">
                  <c:v>123.3591659646236</c:v>
                </c:pt>
                <c:pt idx="46">
                  <c:v>131.7656589795701</c:v>
                </c:pt>
                <c:pt idx="47">
                  <c:v>137.6771519361235</c:v>
                </c:pt>
                <c:pt idx="48">
                  <c:v>143.8110214030861</c:v>
                </c:pt>
                <c:pt idx="49">
                  <c:v>150.4618918487304</c:v>
                </c:pt>
                <c:pt idx="50">
                  <c:v>157.5386437891283</c:v>
                </c:pt>
                <c:pt idx="51">
                  <c:v>163.0727752730904</c:v>
                </c:pt>
                <c:pt idx="52">
                  <c:v>163.8017574260114</c:v>
                </c:pt>
                <c:pt idx="53">
                  <c:v>164.0901608112571</c:v>
                </c:pt>
                <c:pt idx="54">
                  <c:v>170.3539561911457</c:v>
                </c:pt>
                <c:pt idx="55">
                  <c:v>181.1488642315921</c:v>
                </c:pt>
                <c:pt idx="56">
                  <c:v>201.0116409799094</c:v>
                </c:pt>
                <c:pt idx="57">
                  <c:v>226.0327485525792</c:v>
                </c:pt>
                <c:pt idx="58">
                  <c:v>231.5120658974977</c:v>
                </c:pt>
              </c:numCache>
            </c:numRef>
          </c:val>
          <c:smooth val="0"/>
        </c:ser>
        <c:dLbls>
          <c:showLegendKey val="0"/>
          <c:showVal val="0"/>
          <c:showCatName val="0"/>
          <c:showSerName val="0"/>
          <c:showPercent val="0"/>
          <c:showBubbleSize val="0"/>
        </c:dLbls>
        <c:marker val="1"/>
        <c:smooth val="0"/>
        <c:axId val="2106349816"/>
        <c:axId val="2106199848"/>
      </c:lineChart>
      <c:catAx>
        <c:axId val="2106349816"/>
        <c:scaling>
          <c:orientation val="minMax"/>
        </c:scaling>
        <c:delete val="0"/>
        <c:axPos val="b"/>
        <c:numFmt formatCode="General" sourceLinked="1"/>
        <c:majorTickMark val="out"/>
        <c:minorTickMark val="none"/>
        <c:tickLblPos val="nextTo"/>
        <c:crossAx val="2106199848"/>
        <c:crosses val="autoZero"/>
        <c:auto val="1"/>
        <c:lblAlgn val="ctr"/>
        <c:lblOffset val="100"/>
        <c:noMultiLvlLbl val="0"/>
      </c:catAx>
      <c:valAx>
        <c:axId val="2106199848"/>
        <c:scaling>
          <c:orientation val="minMax"/>
        </c:scaling>
        <c:delete val="0"/>
        <c:axPos val="l"/>
        <c:majorGridlines/>
        <c:numFmt formatCode="General" sourceLinked="1"/>
        <c:majorTickMark val="out"/>
        <c:minorTickMark val="none"/>
        <c:tickLblPos val="nextTo"/>
        <c:crossAx val="2106349816"/>
        <c:crosses val="autoZero"/>
        <c:crossBetween val="between"/>
      </c:valAx>
    </c:plotArea>
    <c:legend>
      <c:legendPos val="b"/>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scatterChart>
        <c:scatterStyle val="smoothMarker"/>
        <c:varyColors val="0"/>
        <c:ser>
          <c:idx val="0"/>
          <c:order val="0"/>
          <c:tx>
            <c:strRef>
              <c:f>'[Copia di ARP and OCC.xlsx]Foglio1'!$D$4</c:f>
              <c:strCache>
                <c:ptCount val="1"/>
                <c:pt idx="0">
                  <c:v>C/V LHS</c:v>
                </c:pt>
              </c:strCache>
            </c:strRef>
          </c:tx>
          <c:marker>
            <c:symbol val="none"/>
          </c:marker>
          <c:xVal>
            <c:numRef>
              <c:f>'[Copia di ARP and OCC.xlsx]Foglio1'!$C$5:$C$68</c:f>
              <c:numCache>
                <c:formatCode>General</c:formatCode>
                <c:ptCount val="64"/>
                <c:pt idx="0">
                  <c:v>1947.0</c:v>
                </c:pt>
                <c:pt idx="1">
                  <c:v>1948.0</c:v>
                </c:pt>
                <c:pt idx="2">
                  <c:v>1949.0</c:v>
                </c:pt>
                <c:pt idx="3">
                  <c:v>1950.0</c:v>
                </c:pt>
                <c:pt idx="4">
                  <c:v>1951.0</c:v>
                </c:pt>
                <c:pt idx="5">
                  <c:v>1952.0</c:v>
                </c:pt>
                <c:pt idx="6">
                  <c:v>1953.0</c:v>
                </c:pt>
                <c:pt idx="7">
                  <c:v>1954.0</c:v>
                </c:pt>
                <c:pt idx="8">
                  <c:v>1955.0</c:v>
                </c:pt>
                <c:pt idx="9">
                  <c:v>1956.0</c:v>
                </c:pt>
                <c:pt idx="10">
                  <c:v>1957.0</c:v>
                </c:pt>
                <c:pt idx="11">
                  <c:v>1958.0</c:v>
                </c:pt>
                <c:pt idx="12">
                  <c:v>1959.0</c:v>
                </c:pt>
                <c:pt idx="13">
                  <c:v>1960.0</c:v>
                </c:pt>
                <c:pt idx="14">
                  <c:v>1961.0</c:v>
                </c:pt>
                <c:pt idx="15">
                  <c:v>1962.0</c:v>
                </c:pt>
                <c:pt idx="16">
                  <c:v>1963.0</c:v>
                </c:pt>
                <c:pt idx="17">
                  <c:v>1964.0</c:v>
                </c:pt>
                <c:pt idx="18">
                  <c:v>1965.0</c:v>
                </c:pt>
                <c:pt idx="19">
                  <c:v>1966.0</c:v>
                </c:pt>
                <c:pt idx="20">
                  <c:v>1967.0</c:v>
                </c:pt>
                <c:pt idx="21">
                  <c:v>1968.0</c:v>
                </c:pt>
                <c:pt idx="22">
                  <c:v>1969.0</c:v>
                </c:pt>
                <c:pt idx="23">
                  <c:v>1970.0</c:v>
                </c:pt>
                <c:pt idx="24">
                  <c:v>1971.0</c:v>
                </c:pt>
                <c:pt idx="25">
                  <c:v>1972.0</c:v>
                </c:pt>
                <c:pt idx="26">
                  <c:v>1973.0</c:v>
                </c:pt>
                <c:pt idx="27">
                  <c:v>1974.0</c:v>
                </c:pt>
                <c:pt idx="28">
                  <c:v>1975.0</c:v>
                </c:pt>
                <c:pt idx="29">
                  <c:v>1976.0</c:v>
                </c:pt>
                <c:pt idx="30">
                  <c:v>1977.0</c:v>
                </c:pt>
                <c:pt idx="31">
                  <c:v>1978.0</c:v>
                </c:pt>
                <c:pt idx="32">
                  <c:v>1979.0</c:v>
                </c:pt>
                <c:pt idx="33">
                  <c:v>1980.0</c:v>
                </c:pt>
                <c:pt idx="34">
                  <c:v>1981.0</c:v>
                </c:pt>
                <c:pt idx="35">
                  <c:v>1982.0</c:v>
                </c:pt>
                <c:pt idx="36">
                  <c:v>1983.0</c:v>
                </c:pt>
                <c:pt idx="37">
                  <c:v>1984.0</c:v>
                </c:pt>
                <c:pt idx="38">
                  <c:v>1985.0</c:v>
                </c:pt>
                <c:pt idx="39">
                  <c:v>1986.0</c:v>
                </c:pt>
                <c:pt idx="40">
                  <c:v>1987.0</c:v>
                </c:pt>
                <c:pt idx="41">
                  <c:v>1988.0</c:v>
                </c:pt>
                <c:pt idx="42">
                  <c:v>1989.0</c:v>
                </c:pt>
                <c:pt idx="43">
                  <c:v>1990.0</c:v>
                </c:pt>
                <c:pt idx="44">
                  <c:v>1991.0</c:v>
                </c:pt>
                <c:pt idx="45">
                  <c:v>1992.0</c:v>
                </c:pt>
                <c:pt idx="46">
                  <c:v>1993.0</c:v>
                </c:pt>
                <c:pt idx="47">
                  <c:v>1994.0</c:v>
                </c:pt>
                <c:pt idx="48">
                  <c:v>1995.0</c:v>
                </c:pt>
                <c:pt idx="49">
                  <c:v>1996.0</c:v>
                </c:pt>
                <c:pt idx="50">
                  <c:v>1997.0</c:v>
                </c:pt>
                <c:pt idx="51">
                  <c:v>1998.0</c:v>
                </c:pt>
                <c:pt idx="52">
                  <c:v>1999.0</c:v>
                </c:pt>
                <c:pt idx="53">
                  <c:v>2000.0</c:v>
                </c:pt>
                <c:pt idx="54">
                  <c:v>2001.0</c:v>
                </c:pt>
                <c:pt idx="55">
                  <c:v>2002.0</c:v>
                </c:pt>
                <c:pt idx="56">
                  <c:v>2003.0</c:v>
                </c:pt>
                <c:pt idx="57">
                  <c:v>2004.0</c:v>
                </c:pt>
                <c:pt idx="58">
                  <c:v>2005.0</c:v>
                </c:pt>
                <c:pt idx="59">
                  <c:v>2006.0</c:v>
                </c:pt>
                <c:pt idx="60">
                  <c:v>2007.0</c:v>
                </c:pt>
                <c:pt idx="61">
                  <c:v>2008.0</c:v>
                </c:pt>
                <c:pt idx="62">
                  <c:v>2009.0</c:v>
                </c:pt>
                <c:pt idx="63">
                  <c:v>2010.0</c:v>
                </c:pt>
              </c:numCache>
            </c:numRef>
          </c:xVal>
          <c:yVal>
            <c:numRef>
              <c:f>'[Copia di ARP and OCC.xlsx]Foglio1'!$D$5:$D$68</c:f>
              <c:numCache>
                <c:formatCode>0.00</c:formatCode>
                <c:ptCount val="64"/>
                <c:pt idx="0">
                  <c:v>1.034062694629352</c:v>
                </c:pt>
                <c:pt idx="1">
                  <c:v>1.019255923591958</c:v>
                </c:pt>
                <c:pt idx="2">
                  <c:v>1.118366063002741</c:v>
                </c:pt>
                <c:pt idx="3">
                  <c:v>1.191109499485637</c:v>
                </c:pt>
                <c:pt idx="4">
                  <c:v>1.066482126485331</c:v>
                </c:pt>
                <c:pt idx="5">
                  <c:v>0.994221949633435</c:v>
                </c:pt>
                <c:pt idx="6">
                  <c:v>0.974404662903399</c:v>
                </c:pt>
                <c:pt idx="7">
                  <c:v>1.07571627436762</c:v>
                </c:pt>
                <c:pt idx="8">
                  <c:v>1.039573638664603</c:v>
                </c:pt>
                <c:pt idx="9">
                  <c:v>0.919099035792447</c:v>
                </c:pt>
                <c:pt idx="10">
                  <c:v>1.01038838779736</c:v>
                </c:pt>
                <c:pt idx="11">
                  <c:v>1.091467763346261</c:v>
                </c:pt>
                <c:pt idx="12">
                  <c:v>1.061346127138816</c:v>
                </c:pt>
                <c:pt idx="13">
                  <c:v>1.08470796484846</c:v>
                </c:pt>
                <c:pt idx="14">
                  <c:v>1.136182803195802</c:v>
                </c:pt>
                <c:pt idx="15">
                  <c:v>1.117692536511756</c:v>
                </c:pt>
                <c:pt idx="16">
                  <c:v>1.13874346698983</c:v>
                </c:pt>
                <c:pt idx="17">
                  <c:v>1.141490341377017</c:v>
                </c:pt>
                <c:pt idx="18">
                  <c:v>1.144251356947682</c:v>
                </c:pt>
                <c:pt idx="19">
                  <c:v>1.143278107164156</c:v>
                </c:pt>
                <c:pt idx="20">
                  <c:v>1.168473997113123</c:v>
                </c:pt>
                <c:pt idx="21">
                  <c:v>1.140956681096796</c:v>
                </c:pt>
                <c:pt idx="22">
                  <c:v>1.125502466929847</c:v>
                </c:pt>
                <c:pt idx="23">
                  <c:v>1.16959756375143</c:v>
                </c:pt>
                <c:pt idx="24">
                  <c:v>1.182970483212517</c:v>
                </c:pt>
                <c:pt idx="25">
                  <c:v>1.141424416626282</c:v>
                </c:pt>
                <c:pt idx="26">
                  <c:v>1.118948422963056</c:v>
                </c:pt>
                <c:pt idx="27">
                  <c:v>1.172542056923695</c:v>
                </c:pt>
                <c:pt idx="28">
                  <c:v>1.226057648544261</c:v>
                </c:pt>
                <c:pt idx="29">
                  <c:v>1.184945806136277</c:v>
                </c:pt>
                <c:pt idx="30">
                  <c:v>1.160644311506548</c:v>
                </c:pt>
                <c:pt idx="31">
                  <c:v>1.153931384080026</c:v>
                </c:pt>
                <c:pt idx="32">
                  <c:v>1.17993344597351</c:v>
                </c:pt>
                <c:pt idx="33">
                  <c:v>1.278943661004661</c:v>
                </c:pt>
                <c:pt idx="34">
                  <c:v>1.326306815215053</c:v>
                </c:pt>
                <c:pt idx="35">
                  <c:v>1.420864247238099</c:v>
                </c:pt>
                <c:pt idx="36">
                  <c:v>1.50117535541904</c:v>
                </c:pt>
                <c:pt idx="37">
                  <c:v>1.471958728239805</c:v>
                </c:pt>
                <c:pt idx="38">
                  <c:v>1.486318297412331</c:v>
                </c:pt>
                <c:pt idx="39">
                  <c:v>1.380122702931916</c:v>
                </c:pt>
                <c:pt idx="40">
                  <c:v>1.461937261988001</c:v>
                </c:pt>
                <c:pt idx="41">
                  <c:v>1.40952127606271</c:v>
                </c:pt>
                <c:pt idx="42">
                  <c:v>1.375591965537596</c:v>
                </c:pt>
                <c:pt idx="43">
                  <c:v>1.497388751925155</c:v>
                </c:pt>
                <c:pt idx="44">
                  <c:v>1.57943843592059</c:v>
                </c:pt>
                <c:pt idx="45">
                  <c:v>1.615690691324499</c:v>
                </c:pt>
                <c:pt idx="46">
                  <c:v>1.654896945797638</c:v>
                </c:pt>
                <c:pt idx="47">
                  <c:v>1.65182755638964</c:v>
                </c:pt>
                <c:pt idx="48">
                  <c:v>1.684999207288349</c:v>
                </c:pt>
                <c:pt idx="49">
                  <c:v>1.746763019084496</c:v>
                </c:pt>
                <c:pt idx="50">
                  <c:v>1.74891206680233</c:v>
                </c:pt>
                <c:pt idx="51">
                  <c:v>1.74679724560665</c:v>
                </c:pt>
                <c:pt idx="52">
                  <c:v>1.768016794209218</c:v>
                </c:pt>
                <c:pt idx="53">
                  <c:v>1.754656125636241</c:v>
                </c:pt>
                <c:pt idx="54">
                  <c:v>2.02490246731756</c:v>
                </c:pt>
                <c:pt idx="55">
                  <c:v>2.11401413235017</c:v>
                </c:pt>
                <c:pt idx="56">
                  <c:v>2.154735173907799</c:v>
                </c:pt>
                <c:pt idx="57">
                  <c:v>2.12460176850535</c:v>
                </c:pt>
                <c:pt idx="58">
                  <c:v>2.104223309769802</c:v>
                </c:pt>
                <c:pt idx="59">
                  <c:v>2.068806642067027</c:v>
                </c:pt>
                <c:pt idx="60">
                  <c:v>2.147315835804301</c:v>
                </c:pt>
                <c:pt idx="61">
                  <c:v>2.357845841265202</c:v>
                </c:pt>
                <c:pt idx="62">
                  <c:v>2.674454333900792</c:v>
                </c:pt>
                <c:pt idx="63">
                  <c:v>2.855303505991649</c:v>
                </c:pt>
              </c:numCache>
            </c:numRef>
          </c:yVal>
          <c:smooth val="1"/>
        </c:ser>
        <c:dLbls>
          <c:showLegendKey val="0"/>
          <c:showVal val="0"/>
          <c:showCatName val="0"/>
          <c:showSerName val="0"/>
          <c:showPercent val="0"/>
          <c:showBubbleSize val="0"/>
        </c:dLbls>
        <c:axId val="2107831624"/>
        <c:axId val="2108028232"/>
      </c:scatterChart>
      <c:scatterChart>
        <c:scatterStyle val="smoothMarker"/>
        <c:varyColors val="0"/>
        <c:ser>
          <c:idx val="1"/>
          <c:order val="1"/>
          <c:tx>
            <c:strRef>
              <c:f>'[Copia di ARP and OCC.xlsx]Foglio1'!$E$4</c:f>
              <c:strCache>
                <c:ptCount val="1"/>
                <c:pt idx="0">
                  <c:v>ARP RHS</c:v>
                </c:pt>
              </c:strCache>
            </c:strRef>
          </c:tx>
          <c:marker>
            <c:symbol val="none"/>
          </c:marker>
          <c:trendline>
            <c:trendlineType val="linear"/>
            <c:dispRSqr val="0"/>
            <c:dispEq val="0"/>
          </c:trendline>
          <c:xVal>
            <c:numRef>
              <c:f>'[Copia di ARP and OCC.xlsx]Foglio1'!$C$5:$C$68</c:f>
              <c:numCache>
                <c:formatCode>General</c:formatCode>
                <c:ptCount val="64"/>
                <c:pt idx="0">
                  <c:v>1947.0</c:v>
                </c:pt>
                <c:pt idx="1">
                  <c:v>1948.0</c:v>
                </c:pt>
                <c:pt idx="2">
                  <c:v>1949.0</c:v>
                </c:pt>
                <c:pt idx="3">
                  <c:v>1950.0</c:v>
                </c:pt>
                <c:pt idx="4">
                  <c:v>1951.0</c:v>
                </c:pt>
                <c:pt idx="5">
                  <c:v>1952.0</c:v>
                </c:pt>
                <c:pt idx="6">
                  <c:v>1953.0</c:v>
                </c:pt>
                <c:pt idx="7">
                  <c:v>1954.0</c:v>
                </c:pt>
                <c:pt idx="8">
                  <c:v>1955.0</c:v>
                </c:pt>
                <c:pt idx="9">
                  <c:v>1956.0</c:v>
                </c:pt>
                <c:pt idx="10">
                  <c:v>1957.0</c:v>
                </c:pt>
                <c:pt idx="11">
                  <c:v>1958.0</c:v>
                </c:pt>
                <c:pt idx="12">
                  <c:v>1959.0</c:v>
                </c:pt>
                <c:pt idx="13">
                  <c:v>1960.0</c:v>
                </c:pt>
                <c:pt idx="14">
                  <c:v>1961.0</c:v>
                </c:pt>
                <c:pt idx="15">
                  <c:v>1962.0</c:v>
                </c:pt>
                <c:pt idx="16">
                  <c:v>1963.0</c:v>
                </c:pt>
                <c:pt idx="17">
                  <c:v>1964.0</c:v>
                </c:pt>
                <c:pt idx="18">
                  <c:v>1965.0</c:v>
                </c:pt>
                <c:pt idx="19">
                  <c:v>1966.0</c:v>
                </c:pt>
                <c:pt idx="20">
                  <c:v>1967.0</c:v>
                </c:pt>
                <c:pt idx="21">
                  <c:v>1968.0</c:v>
                </c:pt>
                <c:pt idx="22">
                  <c:v>1969.0</c:v>
                </c:pt>
                <c:pt idx="23">
                  <c:v>1970.0</c:v>
                </c:pt>
                <c:pt idx="24">
                  <c:v>1971.0</c:v>
                </c:pt>
                <c:pt idx="25">
                  <c:v>1972.0</c:v>
                </c:pt>
                <c:pt idx="26">
                  <c:v>1973.0</c:v>
                </c:pt>
                <c:pt idx="27">
                  <c:v>1974.0</c:v>
                </c:pt>
                <c:pt idx="28">
                  <c:v>1975.0</c:v>
                </c:pt>
                <c:pt idx="29">
                  <c:v>1976.0</c:v>
                </c:pt>
                <c:pt idx="30">
                  <c:v>1977.0</c:v>
                </c:pt>
                <c:pt idx="31">
                  <c:v>1978.0</c:v>
                </c:pt>
                <c:pt idx="32">
                  <c:v>1979.0</c:v>
                </c:pt>
                <c:pt idx="33">
                  <c:v>1980.0</c:v>
                </c:pt>
                <c:pt idx="34">
                  <c:v>1981.0</c:v>
                </c:pt>
                <c:pt idx="35">
                  <c:v>1982.0</c:v>
                </c:pt>
                <c:pt idx="36">
                  <c:v>1983.0</c:v>
                </c:pt>
                <c:pt idx="37">
                  <c:v>1984.0</c:v>
                </c:pt>
                <c:pt idx="38">
                  <c:v>1985.0</c:v>
                </c:pt>
                <c:pt idx="39">
                  <c:v>1986.0</c:v>
                </c:pt>
                <c:pt idx="40">
                  <c:v>1987.0</c:v>
                </c:pt>
                <c:pt idx="41">
                  <c:v>1988.0</c:v>
                </c:pt>
                <c:pt idx="42">
                  <c:v>1989.0</c:v>
                </c:pt>
                <c:pt idx="43">
                  <c:v>1990.0</c:v>
                </c:pt>
                <c:pt idx="44">
                  <c:v>1991.0</c:v>
                </c:pt>
                <c:pt idx="45">
                  <c:v>1992.0</c:v>
                </c:pt>
                <c:pt idx="46">
                  <c:v>1993.0</c:v>
                </c:pt>
                <c:pt idx="47">
                  <c:v>1994.0</c:v>
                </c:pt>
                <c:pt idx="48">
                  <c:v>1995.0</c:v>
                </c:pt>
                <c:pt idx="49">
                  <c:v>1996.0</c:v>
                </c:pt>
                <c:pt idx="50">
                  <c:v>1997.0</c:v>
                </c:pt>
                <c:pt idx="51">
                  <c:v>1998.0</c:v>
                </c:pt>
                <c:pt idx="52">
                  <c:v>1999.0</c:v>
                </c:pt>
                <c:pt idx="53">
                  <c:v>2000.0</c:v>
                </c:pt>
                <c:pt idx="54">
                  <c:v>2001.0</c:v>
                </c:pt>
                <c:pt idx="55">
                  <c:v>2002.0</c:v>
                </c:pt>
                <c:pt idx="56">
                  <c:v>2003.0</c:v>
                </c:pt>
                <c:pt idx="57">
                  <c:v>2004.0</c:v>
                </c:pt>
                <c:pt idx="58">
                  <c:v>2005.0</c:v>
                </c:pt>
                <c:pt idx="59">
                  <c:v>2006.0</c:v>
                </c:pt>
                <c:pt idx="60">
                  <c:v>2007.0</c:v>
                </c:pt>
                <c:pt idx="61">
                  <c:v>2008.0</c:v>
                </c:pt>
                <c:pt idx="62">
                  <c:v>2009.0</c:v>
                </c:pt>
                <c:pt idx="63">
                  <c:v>2010.0</c:v>
                </c:pt>
              </c:numCache>
            </c:numRef>
          </c:xVal>
          <c:yVal>
            <c:numRef>
              <c:f>'[Copia di ARP and OCC.xlsx]Foglio1'!$E$5:$E$68</c:f>
              <c:numCache>
                <c:formatCode>0.00%</c:formatCode>
                <c:ptCount val="64"/>
                <c:pt idx="0">
                  <c:v>0.170491140126765</c:v>
                </c:pt>
                <c:pt idx="1">
                  <c:v>0.173047489668633</c:v>
                </c:pt>
                <c:pt idx="2">
                  <c:v>0.138049533305049</c:v>
                </c:pt>
                <c:pt idx="3">
                  <c:v>0.209386581292875</c:v>
                </c:pt>
                <c:pt idx="4">
                  <c:v>0.188625117665225</c:v>
                </c:pt>
                <c:pt idx="5">
                  <c:v>0.140472820991223</c:v>
                </c:pt>
                <c:pt idx="6">
                  <c:v>0.137415615085425</c:v>
                </c:pt>
                <c:pt idx="7">
                  <c:v>0.124140594676966</c:v>
                </c:pt>
                <c:pt idx="8">
                  <c:v>0.154809271364561</c:v>
                </c:pt>
                <c:pt idx="9">
                  <c:v>0.138997516555914</c:v>
                </c:pt>
                <c:pt idx="10">
                  <c:v>0.130190622898424</c:v>
                </c:pt>
                <c:pt idx="11">
                  <c:v>0.100254766210217</c:v>
                </c:pt>
                <c:pt idx="12">
                  <c:v>0.125115906037104</c:v>
                </c:pt>
                <c:pt idx="13">
                  <c:v>0.108157206802143</c:v>
                </c:pt>
                <c:pt idx="14">
                  <c:v>0.102055297703771</c:v>
                </c:pt>
                <c:pt idx="15">
                  <c:v>0.108948833201696</c:v>
                </c:pt>
                <c:pt idx="16">
                  <c:v>0.116340556876449</c:v>
                </c:pt>
                <c:pt idx="17">
                  <c:v>0.121465711067164</c:v>
                </c:pt>
                <c:pt idx="18">
                  <c:v>0.137208135738469</c:v>
                </c:pt>
                <c:pt idx="19">
                  <c:v>0.134763954662671</c:v>
                </c:pt>
                <c:pt idx="20">
                  <c:v>0.117100317744596</c:v>
                </c:pt>
                <c:pt idx="21">
                  <c:v>0.119819827537053</c:v>
                </c:pt>
                <c:pt idx="22">
                  <c:v>0.10356362974114</c:v>
                </c:pt>
                <c:pt idx="23">
                  <c:v>0.077882637853328</c:v>
                </c:pt>
                <c:pt idx="24">
                  <c:v>0.0898130795982922</c:v>
                </c:pt>
                <c:pt idx="25">
                  <c:v>0.100271541088831</c:v>
                </c:pt>
                <c:pt idx="26">
                  <c:v>0.114480904700082</c:v>
                </c:pt>
                <c:pt idx="27">
                  <c:v>0.114676371724241</c:v>
                </c:pt>
                <c:pt idx="28">
                  <c:v>0.109974931634009</c:v>
                </c:pt>
                <c:pt idx="29">
                  <c:v>0.127320581042419</c:v>
                </c:pt>
                <c:pt idx="30">
                  <c:v>0.128566634198437</c:v>
                </c:pt>
                <c:pt idx="31">
                  <c:v>0.13034415170657</c:v>
                </c:pt>
                <c:pt idx="32">
                  <c:v>0.12471542148872</c:v>
                </c:pt>
                <c:pt idx="33">
                  <c:v>0.101830239540955</c:v>
                </c:pt>
                <c:pt idx="34">
                  <c:v>0.0915700717093996</c:v>
                </c:pt>
                <c:pt idx="35">
                  <c:v>0.0572094446600759</c:v>
                </c:pt>
                <c:pt idx="36">
                  <c:v>0.0584269383274004</c:v>
                </c:pt>
                <c:pt idx="37">
                  <c:v>0.0654054232729324</c:v>
                </c:pt>
                <c:pt idx="38">
                  <c:v>0.0546045554743558</c:v>
                </c:pt>
                <c:pt idx="39">
                  <c:v>0.0386048913957394</c:v>
                </c:pt>
                <c:pt idx="40">
                  <c:v>0.0660854940123045</c:v>
                </c:pt>
                <c:pt idx="41">
                  <c:v>0.0881190620049898</c:v>
                </c:pt>
                <c:pt idx="42">
                  <c:v>0.0770988013957943</c:v>
                </c:pt>
                <c:pt idx="43">
                  <c:v>0.0717396441565957</c:v>
                </c:pt>
                <c:pt idx="44">
                  <c:v>0.0546080949373543</c:v>
                </c:pt>
                <c:pt idx="45">
                  <c:v>0.0563680459141216</c:v>
                </c:pt>
                <c:pt idx="46">
                  <c:v>0.0630491151170565</c:v>
                </c:pt>
                <c:pt idx="47">
                  <c:v>0.080181923396112</c:v>
                </c:pt>
                <c:pt idx="48">
                  <c:v>0.089887968220979</c:v>
                </c:pt>
                <c:pt idx="49">
                  <c:v>0.0888753765652661</c:v>
                </c:pt>
                <c:pt idx="50">
                  <c:v>0.0923328090081794</c:v>
                </c:pt>
                <c:pt idx="51">
                  <c:v>0.0663443901816915</c:v>
                </c:pt>
                <c:pt idx="52">
                  <c:v>0.0650051607483645</c:v>
                </c:pt>
                <c:pt idx="53">
                  <c:v>0.0663703304904697</c:v>
                </c:pt>
                <c:pt idx="54">
                  <c:v>0.0342225352730539</c:v>
                </c:pt>
                <c:pt idx="55">
                  <c:v>0.0301562757003176</c:v>
                </c:pt>
                <c:pt idx="56">
                  <c:v>0.0417048000517197</c:v>
                </c:pt>
                <c:pt idx="57">
                  <c:v>0.0781313526515387</c:v>
                </c:pt>
                <c:pt idx="58">
                  <c:v>0.114607322200163</c:v>
                </c:pt>
                <c:pt idx="59">
                  <c:v>0.13108310636738</c:v>
                </c:pt>
                <c:pt idx="60">
                  <c:v>0.110109235732416</c:v>
                </c:pt>
                <c:pt idx="61">
                  <c:v>0.0780091010072</c:v>
                </c:pt>
                <c:pt idx="62">
                  <c:v>0.0444626464348985</c:v>
                </c:pt>
                <c:pt idx="63">
                  <c:v>0.0764016498002289</c:v>
                </c:pt>
              </c:numCache>
            </c:numRef>
          </c:yVal>
          <c:smooth val="1"/>
        </c:ser>
        <c:dLbls>
          <c:showLegendKey val="0"/>
          <c:showVal val="0"/>
          <c:showCatName val="0"/>
          <c:showSerName val="0"/>
          <c:showPercent val="0"/>
          <c:showBubbleSize val="0"/>
        </c:dLbls>
        <c:axId val="2108091864"/>
        <c:axId val="2107929448"/>
      </c:scatterChart>
      <c:valAx>
        <c:axId val="2107831624"/>
        <c:scaling>
          <c:orientation val="minMax"/>
        </c:scaling>
        <c:delete val="0"/>
        <c:axPos val="b"/>
        <c:numFmt formatCode="General" sourceLinked="1"/>
        <c:majorTickMark val="out"/>
        <c:minorTickMark val="none"/>
        <c:tickLblPos val="nextTo"/>
        <c:crossAx val="2108028232"/>
        <c:crosses val="autoZero"/>
        <c:crossBetween val="midCat"/>
      </c:valAx>
      <c:valAx>
        <c:axId val="2108028232"/>
        <c:scaling>
          <c:orientation val="minMax"/>
        </c:scaling>
        <c:delete val="0"/>
        <c:axPos val="l"/>
        <c:majorGridlines/>
        <c:numFmt formatCode="0.00" sourceLinked="1"/>
        <c:majorTickMark val="out"/>
        <c:minorTickMark val="none"/>
        <c:tickLblPos val="nextTo"/>
        <c:crossAx val="2107831624"/>
        <c:crosses val="autoZero"/>
        <c:crossBetween val="midCat"/>
      </c:valAx>
      <c:valAx>
        <c:axId val="2107929448"/>
        <c:scaling>
          <c:orientation val="minMax"/>
        </c:scaling>
        <c:delete val="0"/>
        <c:axPos val="r"/>
        <c:numFmt formatCode="0.00%" sourceLinked="1"/>
        <c:majorTickMark val="out"/>
        <c:minorTickMark val="none"/>
        <c:tickLblPos val="nextTo"/>
        <c:crossAx val="2108091864"/>
        <c:crosses val="max"/>
        <c:crossBetween val="midCat"/>
      </c:valAx>
      <c:valAx>
        <c:axId val="2108091864"/>
        <c:scaling>
          <c:orientation val="minMax"/>
        </c:scaling>
        <c:delete val="1"/>
        <c:axPos val="b"/>
        <c:numFmt formatCode="General" sourceLinked="1"/>
        <c:majorTickMark val="out"/>
        <c:minorTickMark val="none"/>
        <c:tickLblPos val="none"/>
        <c:crossAx val="2107929448"/>
        <c:crosses val="autoZero"/>
        <c:crossBetween val="midCat"/>
      </c:valAx>
    </c:plotArea>
    <c:legend>
      <c:legendPos val="b"/>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7"/>
    </mc:Choice>
    <mc:Fallback>
      <c:style val="17"/>
    </mc:Fallback>
  </mc:AlternateContent>
  <c:chart>
    <c:autoTitleDeleted val="0"/>
    <c:plotArea>
      <c:layout/>
      <c:lineChart>
        <c:grouping val="standard"/>
        <c:varyColors val="0"/>
        <c:ser>
          <c:idx val="0"/>
          <c:order val="0"/>
          <c:tx>
            <c:strRef>
              <c:f>'[ARP value and money.xlsx]Sheet1'!$E$7</c:f>
              <c:strCache>
                <c:ptCount val="1"/>
                <c:pt idx="0">
                  <c:v>ARP value LHS</c:v>
                </c:pt>
              </c:strCache>
            </c:strRef>
          </c:tx>
          <c:spPr>
            <a:ln w="19050" cmpd="sng"/>
          </c:spPr>
          <c:marker>
            <c:symbol val="none"/>
          </c:marker>
          <c:cat>
            <c:numRef>
              <c:f>'[ARP value and money.xlsx]Sheet1'!$D$8:$D$69</c:f>
              <c:numCache>
                <c:formatCode>General</c:formatCode>
                <c:ptCount val="62"/>
                <c:pt idx="0">
                  <c:v>1949.0</c:v>
                </c:pt>
                <c:pt idx="1">
                  <c:v>1950.0</c:v>
                </c:pt>
                <c:pt idx="2">
                  <c:v>1951.0</c:v>
                </c:pt>
                <c:pt idx="3">
                  <c:v>1952.0</c:v>
                </c:pt>
                <c:pt idx="4">
                  <c:v>1953.0</c:v>
                </c:pt>
                <c:pt idx="5">
                  <c:v>1954.0</c:v>
                </c:pt>
                <c:pt idx="6">
                  <c:v>1955.0</c:v>
                </c:pt>
                <c:pt idx="7">
                  <c:v>1956.0</c:v>
                </c:pt>
                <c:pt idx="8">
                  <c:v>1957.0</c:v>
                </c:pt>
                <c:pt idx="9">
                  <c:v>1958.0</c:v>
                </c:pt>
                <c:pt idx="10">
                  <c:v>1959.0</c:v>
                </c:pt>
                <c:pt idx="11">
                  <c:v>1960.0</c:v>
                </c:pt>
                <c:pt idx="12">
                  <c:v>1961.0</c:v>
                </c:pt>
                <c:pt idx="13">
                  <c:v>1962.0</c:v>
                </c:pt>
                <c:pt idx="14">
                  <c:v>1963.0</c:v>
                </c:pt>
                <c:pt idx="15">
                  <c:v>1964.0</c:v>
                </c:pt>
                <c:pt idx="16">
                  <c:v>1965.0</c:v>
                </c:pt>
                <c:pt idx="17">
                  <c:v>1966.0</c:v>
                </c:pt>
                <c:pt idx="18">
                  <c:v>1967.0</c:v>
                </c:pt>
                <c:pt idx="19">
                  <c:v>1968.0</c:v>
                </c:pt>
                <c:pt idx="20">
                  <c:v>1969.0</c:v>
                </c:pt>
                <c:pt idx="21">
                  <c:v>1970.0</c:v>
                </c:pt>
                <c:pt idx="22">
                  <c:v>1971.0</c:v>
                </c:pt>
                <c:pt idx="23">
                  <c:v>1972.0</c:v>
                </c:pt>
                <c:pt idx="24">
                  <c:v>1973.0</c:v>
                </c:pt>
                <c:pt idx="25">
                  <c:v>1974.0</c:v>
                </c:pt>
                <c:pt idx="26">
                  <c:v>1975.0</c:v>
                </c:pt>
                <c:pt idx="27">
                  <c:v>1976.0</c:v>
                </c:pt>
                <c:pt idx="28">
                  <c:v>1977.0</c:v>
                </c:pt>
                <c:pt idx="29">
                  <c:v>1978.0</c:v>
                </c:pt>
                <c:pt idx="30">
                  <c:v>1979.0</c:v>
                </c:pt>
                <c:pt idx="31">
                  <c:v>1980.0</c:v>
                </c:pt>
                <c:pt idx="32">
                  <c:v>1981.0</c:v>
                </c:pt>
                <c:pt idx="33">
                  <c:v>1982.0</c:v>
                </c:pt>
                <c:pt idx="34">
                  <c:v>1983.0</c:v>
                </c:pt>
                <c:pt idx="35">
                  <c:v>1984.0</c:v>
                </c:pt>
                <c:pt idx="36">
                  <c:v>1985.0</c:v>
                </c:pt>
                <c:pt idx="37">
                  <c:v>1986.0</c:v>
                </c:pt>
                <c:pt idx="38">
                  <c:v>1987.0</c:v>
                </c:pt>
                <c:pt idx="39">
                  <c:v>1988.0</c:v>
                </c:pt>
                <c:pt idx="40">
                  <c:v>1989.0</c:v>
                </c:pt>
                <c:pt idx="41">
                  <c:v>1990.0</c:v>
                </c:pt>
                <c:pt idx="42">
                  <c:v>1991.0</c:v>
                </c:pt>
                <c:pt idx="43">
                  <c:v>1992.0</c:v>
                </c:pt>
                <c:pt idx="44">
                  <c:v>1993.0</c:v>
                </c:pt>
                <c:pt idx="45">
                  <c:v>1994.0</c:v>
                </c:pt>
                <c:pt idx="46">
                  <c:v>1995.0</c:v>
                </c:pt>
                <c:pt idx="47">
                  <c:v>1996.0</c:v>
                </c:pt>
                <c:pt idx="48">
                  <c:v>1997.0</c:v>
                </c:pt>
                <c:pt idx="49">
                  <c:v>1998.0</c:v>
                </c:pt>
                <c:pt idx="50">
                  <c:v>1999.0</c:v>
                </c:pt>
                <c:pt idx="51">
                  <c:v>2000.0</c:v>
                </c:pt>
                <c:pt idx="52">
                  <c:v>2001.0</c:v>
                </c:pt>
                <c:pt idx="53">
                  <c:v>2002.0</c:v>
                </c:pt>
                <c:pt idx="54">
                  <c:v>2003.0</c:v>
                </c:pt>
                <c:pt idx="55">
                  <c:v>2004.0</c:v>
                </c:pt>
                <c:pt idx="56">
                  <c:v>2005.0</c:v>
                </c:pt>
                <c:pt idx="57">
                  <c:v>2006.0</c:v>
                </c:pt>
                <c:pt idx="58">
                  <c:v>2007.0</c:v>
                </c:pt>
                <c:pt idx="59">
                  <c:v>2008.0</c:v>
                </c:pt>
                <c:pt idx="60">
                  <c:v>2009.0</c:v>
                </c:pt>
                <c:pt idx="61">
                  <c:v>2010.0</c:v>
                </c:pt>
              </c:numCache>
            </c:numRef>
          </c:cat>
          <c:val>
            <c:numRef>
              <c:f>'[ARP value and money.xlsx]Sheet1'!$E$8:$E$69</c:f>
              <c:numCache>
                <c:formatCode>0.00%</c:formatCode>
                <c:ptCount val="62"/>
                <c:pt idx="0">
                  <c:v>0.13562716734979</c:v>
                </c:pt>
                <c:pt idx="1">
                  <c:v>0.216760732574652</c:v>
                </c:pt>
                <c:pt idx="2">
                  <c:v>0.191183387245932</c:v>
                </c:pt>
                <c:pt idx="3">
                  <c:v>0.150207966762634</c:v>
                </c:pt>
                <c:pt idx="4">
                  <c:v>0.133203775974116</c:v>
                </c:pt>
                <c:pt idx="5">
                  <c:v>0.120448723358806</c:v>
                </c:pt>
                <c:pt idx="6">
                  <c:v>0.155425374806632</c:v>
                </c:pt>
                <c:pt idx="7">
                  <c:v>0.132630290285002</c:v>
                </c:pt>
                <c:pt idx="8">
                  <c:v>0.126577731463555</c:v>
                </c:pt>
                <c:pt idx="9">
                  <c:v>0.107262377762372</c:v>
                </c:pt>
                <c:pt idx="10">
                  <c:v>0.127174024180251</c:v>
                </c:pt>
                <c:pt idx="11">
                  <c:v>0.104176839090095</c:v>
                </c:pt>
                <c:pt idx="12">
                  <c:v>0.105231340320841</c:v>
                </c:pt>
                <c:pt idx="13">
                  <c:v>0.109824899125116</c:v>
                </c:pt>
                <c:pt idx="14">
                  <c:v>0.113592466794526</c:v>
                </c:pt>
                <c:pt idx="15">
                  <c:v>0.122115516345889</c:v>
                </c:pt>
                <c:pt idx="16">
                  <c:v>0.138267105421378</c:v>
                </c:pt>
                <c:pt idx="17">
                  <c:v>0.137678724078838</c:v>
                </c:pt>
                <c:pt idx="18">
                  <c:v>0.119872770549777</c:v>
                </c:pt>
                <c:pt idx="19">
                  <c:v>0.121257151945089</c:v>
                </c:pt>
                <c:pt idx="20">
                  <c:v>0.105571275882523</c:v>
                </c:pt>
                <c:pt idx="21">
                  <c:v>0.0783496600659983</c:v>
                </c:pt>
                <c:pt idx="22">
                  <c:v>0.0890535556219751</c:v>
                </c:pt>
                <c:pt idx="23">
                  <c:v>0.100547969411152</c:v>
                </c:pt>
                <c:pt idx="24">
                  <c:v>0.113710460500331</c:v>
                </c:pt>
                <c:pt idx="25">
                  <c:v>0.107614630842943</c:v>
                </c:pt>
                <c:pt idx="26">
                  <c:v>0.107800324721553</c:v>
                </c:pt>
                <c:pt idx="27">
                  <c:v>0.128676932621403</c:v>
                </c:pt>
                <c:pt idx="28">
                  <c:v>0.128519546296934</c:v>
                </c:pt>
                <c:pt idx="29">
                  <c:v>0.136585069253089</c:v>
                </c:pt>
                <c:pt idx="30">
                  <c:v>0.127489334798532</c:v>
                </c:pt>
                <c:pt idx="31">
                  <c:v>0.105720360180713</c:v>
                </c:pt>
                <c:pt idx="32">
                  <c:v>0.09500454625485</c:v>
                </c:pt>
                <c:pt idx="33">
                  <c:v>0.057500387035861</c:v>
                </c:pt>
                <c:pt idx="34">
                  <c:v>0.0631370938197543</c:v>
                </c:pt>
                <c:pt idx="35">
                  <c:v>0.0677056274122924</c:v>
                </c:pt>
                <c:pt idx="36">
                  <c:v>0.0537435591385681</c:v>
                </c:pt>
                <c:pt idx="37">
                  <c:v>0.0374669944880596</c:v>
                </c:pt>
                <c:pt idx="38">
                  <c:v>0.0635652558584223</c:v>
                </c:pt>
                <c:pt idx="39">
                  <c:v>0.0840586733375386</c:v>
                </c:pt>
                <c:pt idx="40">
                  <c:v>0.0742777459237458</c:v>
                </c:pt>
                <c:pt idx="41">
                  <c:v>0.0722674182464616</c:v>
                </c:pt>
                <c:pt idx="42">
                  <c:v>0.056991594544969</c:v>
                </c:pt>
                <c:pt idx="43">
                  <c:v>0.0571731482792017</c:v>
                </c:pt>
                <c:pt idx="44">
                  <c:v>0.062718871875962</c:v>
                </c:pt>
                <c:pt idx="45">
                  <c:v>0.0787987448506646</c:v>
                </c:pt>
                <c:pt idx="46">
                  <c:v>0.0864456535230997</c:v>
                </c:pt>
                <c:pt idx="47">
                  <c:v>0.0890303624029146</c:v>
                </c:pt>
                <c:pt idx="48">
                  <c:v>0.0925500846594184</c:v>
                </c:pt>
                <c:pt idx="49">
                  <c:v>0.0686290690907269</c:v>
                </c:pt>
                <c:pt idx="50">
                  <c:v>0.0656467744678045</c:v>
                </c:pt>
                <c:pt idx="51">
                  <c:v>0.0644119419720048</c:v>
                </c:pt>
                <c:pt idx="52">
                  <c:v>0.0366467751386395</c:v>
                </c:pt>
                <c:pt idx="53">
                  <c:v>0.0323665004656421</c:v>
                </c:pt>
                <c:pt idx="54">
                  <c:v>0.0396784007198476</c:v>
                </c:pt>
                <c:pt idx="55">
                  <c:v>0.068644031123322</c:v>
                </c:pt>
                <c:pt idx="56">
                  <c:v>0.0985734552558799</c:v>
                </c:pt>
                <c:pt idx="57">
                  <c:v>0.117607480964043</c:v>
                </c:pt>
                <c:pt idx="58">
                  <c:v>0.109052261050544</c:v>
                </c:pt>
                <c:pt idx="59">
                  <c:v>0.0822665068539694</c:v>
                </c:pt>
                <c:pt idx="60">
                  <c:v>0.0468574126536253</c:v>
                </c:pt>
                <c:pt idx="61">
                  <c:v>0.0747573926404482</c:v>
                </c:pt>
              </c:numCache>
            </c:numRef>
          </c:val>
          <c:smooth val="0"/>
        </c:ser>
        <c:dLbls>
          <c:showLegendKey val="0"/>
          <c:showVal val="0"/>
          <c:showCatName val="0"/>
          <c:showSerName val="0"/>
          <c:showPercent val="0"/>
          <c:showBubbleSize val="0"/>
        </c:dLbls>
        <c:marker val="1"/>
        <c:smooth val="0"/>
        <c:axId val="2108193992"/>
        <c:axId val="2107941752"/>
      </c:lineChart>
      <c:lineChart>
        <c:grouping val="standard"/>
        <c:varyColors val="0"/>
        <c:ser>
          <c:idx val="1"/>
          <c:order val="1"/>
          <c:tx>
            <c:strRef>
              <c:f>'[ARP value and money.xlsx]Sheet1'!$F$7</c:f>
              <c:strCache>
                <c:ptCount val="1"/>
                <c:pt idx="0">
                  <c:v>ARP money RHS</c:v>
                </c:pt>
              </c:strCache>
            </c:strRef>
          </c:tx>
          <c:spPr>
            <a:ln w="19050" cmpd="sng"/>
          </c:spPr>
          <c:marker>
            <c:symbol val="none"/>
          </c:marker>
          <c:cat>
            <c:numRef>
              <c:f>'[ARP value and money.xlsx]Sheet1'!$D$8:$D$69</c:f>
              <c:numCache>
                <c:formatCode>General</c:formatCode>
                <c:ptCount val="62"/>
                <c:pt idx="0">
                  <c:v>1949.0</c:v>
                </c:pt>
                <c:pt idx="1">
                  <c:v>1950.0</c:v>
                </c:pt>
                <c:pt idx="2">
                  <c:v>1951.0</c:v>
                </c:pt>
                <c:pt idx="3">
                  <c:v>1952.0</c:v>
                </c:pt>
                <c:pt idx="4">
                  <c:v>1953.0</c:v>
                </c:pt>
                <c:pt idx="5">
                  <c:v>1954.0</c:v>
                </c:pt>
                <c:pt idx="6">
                  <c:v>1955.0</c:v>
                </c:pt>
                <c:pt idx="7">
                  <c:v>1956.0</c:v>
                </c:pt>
                <c:pt idx="8">
                  <c:v>1957.0</c:v>
                </c:pt>
                <c:pt idx="9">
                  <c:v>1958.0</c:v>
                </c:pt>
                <c:pt idx="10">
                  <c:v>1959.0</c:v>
                </c:pt>
                <c:pt idx="11">
                  <c:v>1960.0</c:v>
                </c:pt>
                <c:pt idx="12">
                  <c:v>1961.0</c:v>
                </c:pt>
                <c:pt idx="13">
                  <c:v>1962.0</c:v>
                </c:pt>
                <c:pt idx="14">
                  <c:v>1963.0</c:v>
                </c:pt>
                <c:pt idx="15">
                  <c:v>1964.0</c:v>
                </c:pt>
                <c:pt idx="16">
                  <c:v>1965.0</c:v>
                </c:pt>
                <c:pt idx="17">
                  <c:v>1966.0</c:v>
                </c:pt>
                <c:pt idx="18">
                  <c:v>1967.0</c:v>
                </c:pt>
                <c:pt idx="19">
                  <c:v>1968.0</c:v>
                </c:pt>
                <c:pt idx="20">
                  <c:v>1969.0</c:v>
                </c:pt>
                <c:pt idx="21">
                  <c:v>1970.0</c:v>
                </c:pt>
                <c:pt idx="22">
                  <c:v>1971.0</c:v>
                </c:pt>
                <c:pt idx="23">
                  <c:v>1972.0</c:v>
                </c:pt>
                <c:pt idx="24">
                  <c:v>1973.0</c:v>
                </c:pt>
                <c:pt idx="25">
                  <c:v>1974.0</c:v>
                </c:pt>
                <c:pt idx="26">
                  <c:v>1975.0</c:v>
                </c:pt>
                <c:pt idx="27">
                  <c:v>1976.0</c:v>
                </c:pt>
                <c:pt idx="28">
                  <c:v>1977.0</c:v>
                </c:pt>
                <c:pt idx="29">
                  <c:v>1978.0</c:v>
                </c:pt>
                <c:pt idx="30">
                  <c:v>1979.0</c:v>
                </c:pt>
                <c:pt idx="31">
                  <c:v>1980.0</c:v>
                </c:pt>
                <c:pt idx="32">
                  <c:v>1981.0</c:v>
                </c:pt>
                <c:pt idx="33">
                  <c:v>1982.0</c:v>
                </c:pt>
                <c:pt idx="34">
                  <c:v>1983.0</c:v>
                </c:pt>
                <c:pt idx="35">
                  <c:v>1984.0</c:v>
                </c:pt>
                <c:pt idx="36">
                  <c:v>1985.0</c:v>
                </c:pt>
                <c:pt idx="37">
                  <c:v>1986.0</c:v>
                </c:pt>
                <c:pt idx="38">
                  <c:v>1987.0</c:v>
                </c:pt>
                <c:pt idx="39">
                  <c:v>1988.0</c:v>
                </c:pt>
                <c:pt idx="40">
                  <c:v>1989.0</c:v>
                </c:pt>
                <c:pt idx="41">
                  <c:v>1990.0</c:v>
                </c:pt>
                <c:pt idx="42">
                  <c:v>1991.0</c:v>
                </c:pt>
                <c:pt idx="43">
                  <c:v>1992.0</c:v>
                </c:pt>
                <c:pt idx="44">
                  <c:v>1993.0</c:v>
                </c:pt>
                <c:pt idx="45">
                  <c:v>1994.0</c:v>
                </c:pt>
                <c:pt idx="46">
                  <c:v>1995.0</c:v>
                </c:pt>
                <c:pt idx="47">
                  <c:v>1996.0</c:v>
                </c:pt>
                <c:pt idx="48">
                  <c:v>1997.0</c:v>
                </c:pt>
                <c:pt idx="49">
                  <c:v>1998.0</c:v>
                </c:pt>
                <c:pt idx="50">
                  <c:v>1999.0</c:v>
                </c:pt>
                <c:pt idx="51">
                  <c:v>2000.0</c:v>
                </c:pt>
                <c:pt idx="52">
                  <c:v>2001.0</c:v>
                </c:pt>
                <c:pt idx="53">
                  <c:v>2002.0</c:v>
                </c:pt>
                <c:pt idx="54">
                  <c:v>2003.0</c:v>
                </c:pt>
                <c:pt idx="55">
                  <c:v>2004.0</c:v>
                </c:pt>
                <c:pt idx="56">
                  <c:v>2005.0</c:v>
                </c:pt>
                <c:pt idx="57">
                  <c:v>2006.0</c:v>
                </c:pt>
                <c:pt idx="58">
                  <c:v>2007.0</c:v>
                </c:pt>
                <c:pt idx="59">
                  <c:v>2008.0</c:v>
                </c:pt>
                <c:pt idx="60">
                  <c:v>2009.0</c:v>
                </c:pt>
                <c:pt idx="61">
                  <c:v>2010.0</c:v>
                </c:pt>
              </c:numCache>
            </c:numRef>
          </c:cat>
          <c:val>
            <c:numRef>
              <c:f>'[ARP value and money.xlsx]Sheet1'!$F$8:$F$69</c:f>
              <c:numCache>
                <c:formatCode>0.00%</c:formatCode>
                <c:ptCount val="62"/>
                <c:pt idx="0">
                  <c:v>0.138049533305049</c:v>
                </c:pt>
                <c:pt idx="1">
                  <c:v>0.209386581292875</c:v>
                </c:pt>
                <c:pt idx="2">
                  <c:v>0.188625117665225</c:v>
                </c:pt>
                <c:pt idx="3">
                  <c:v>0.140472820991223</c:v>
                </c:pt>
                <c:pt idx="4">
                  <c:v>0.137415615085425</c:v>
                </c:pt>
                <c:pt idx="5">
                  <c:v>0.124140594676966</c:v>
                </c:pt>
                <c:pt idx="6">
                  <c:v>0.154809271364561</c:v>
                </c:pt>
                <c:pt idx="7">
                  <c:v>0.138997516555914</c:v>
                </c:pt>
                <c:pt idx="8">
                  <c:v>0.130190622898424</c:v>
                </c:pt>
                <c:pt idx="9">
                  <c:v>0.100254766210217</c:v>
                </c:pt>
                <c:pt idx="10">
                  <c:v>0.125115906037104</c:v>
                </c:pt>
                <c:pt idx="11">
                  <c:v>0.108157206802143</c:v>
                </c:pt>
                <c:pt idx="12">
                  <c:v>0.102055297703771</c:v>
                </c:pt>
                <c:pt idx="13">
                  <c:v>0.108948833201696</c:v>
                </c:pt>
                <c:pt idx="14">
                  <c:v>0.116340556876449</c:v>
                </c:pt>
                <c:pt idx="15">
                  <c:v>0.121465711067164</c:v>
                </c:pt>
                <c:pt idx="16">
                  <c:v>0.137208135738469</c:v>
                </c:pt>
                <c:pt idx="17">
                  <c:v>0.134763954662671</c:v>
                </c:pt>
                <c:pt idx="18">
                  <c:v>0.117100317744596</c:v>
                </c:pt>
                <c:pt idx="19">
                  <c:v>0.119819827537053</c:v>
                </c:pt>
                <c:pt idx="20">
                  <c:v>0.10356362974114</c:v>
                </c:pt>
                <c:pt idx="21">
                  <c:v>0.077882637853328</c:v>
                </c:pt>
                <c:pt idx="22">
                  <c:v>0.0898130795982922</c:v>
                </c:pt>
                <c:pt idx="23">
                  <c:v>0.100271541088831</c:v>
                </c:pt>
                <c:pt idx="24">
                  <c:v>0.114480904700082</c:v>
                </c:pt>
                <c:pt idx="25">
                  <c:v>0.114676371724241</c:v>
                </c:pt>
                <c:pt idx="26">
                  <c:v>0.109974931634009</c:v>
                </c:pt>
                <c:pt idx="27">
                  <c:v>0.127320581042419</c:v>
                </c:pt>
                <c:pt idx="28">
                  <c:v>0.128566634198437</c:v>
                </c:pt>
                <c:pt idx="29">
                  <c:v>0.13034415170657</c:v>
                </c:pt>
                <c:pt idx="30">
                  <c:v>0.12471542148872</c:v>
                </c:pt>
                <c:pt idx="31">
                  <c:v>0.101830239540955</c:v>
                </c:pt>
                <c:pt idx="32">
                  <c:v>0.0915700717093996</c:v>
                </c:pt>
                <c:pt idx="33">
                  <c:v>0.0572094446600759</c:v>
                </c:pt>
                <c:pt idx="34">
                  <c:v>0.0584269383274004</c:v>
                </c:pt>
                <c:pt idx="35">
                  <c:v>0.0654054232729324</c:v>
                </c:pt>
                <c:pt idx="36">
                  <c:v>0.0546045554743558</c:v>
                </c:pt>
                <c:pt idx="37">
                  <c:v>0.0386048913957394</c:v>
                </c:pt>
                <c:pt idx="38">
                  <c:v>0.0660854940123045</c:v>
                </c:pt>
                <c:pt idx="39">
                  <c:v>0.0881190620049898</c:v>
                </c:pt>
                <c:pt idx="40">
                  <c:v>0.0770988013957943</c:v>
                </c:pt>
                <c:pt idx="41">
                  <c:v>0.0717396441565957</c:v>
                </c:pt>
                <c:pt idx="42">
                  <c:v>0.0546080949373543</c:v>
                </c:pt>
                <c:pt idx="43">
                  <c:v>0.0563680459141216</c:v>
                </c:pt>
                <c:pt idx="44">
                  <c:v>0.0630491151170565</c:v>
                </c:pt>
                <c:pt idx="45">
                  <c:v>0.080181923396112</c:v>
                </c:pt>
                <c:pt idx="46">
                  <c:v>0.089887968220979</c:v>
                </c:pt>
                <c:pt idx="47">
                  <c:v>0.0888753765652661</c:v>
                </c:pt>
                <c:pt idx="48">
                  <c:v>0.0923328090081794</c:v>
                </c:pt>
                <c:pt idx="49">
                  <c:v>0.0663443901816915</c:v>
                </c:pt>
                <c:pt idx="50">
                  <c:v>0.0650051607483645</c:v>
                </c:pt>
                <c:pt idx="51">
                  <c:v>0.0663703304904697</c:v>
                </c:pt>
                <c:pt idx="52">
                  <c:v>0.0342225352730539</c:v>
                </c:pt>
                <c:pt idx="53">
                  <c:v>0.0301562757003176</c:v>
                </c:pt>
                <c:pt idx="54">
                  <c:v>0.0417048000517197</c:v>
                </c:pt>
                <c:pt idx="55">
                  <c:v>0.0781313526515387</c:v>
                </c:pt>
                <c:pt idx="56">
                  <c:v>0.114607322200163</c:v>
                </c:pt>
                <c:pt idx="57">
                  <c:v>0.13108310636738</c:v>
                </c:pt>
                <c:pt idx="58">
                  <c:v>0.110109235732416</c:v>
                </c:pt>
                <c:pt idx="59">
                  <c:v>0.0780091010072</c:v>
                </c:pt>
                <c:pt idx="60">
                  <c:v>0.0444626464348985</c:v>
                </c:pt>
                <c:pt idx="61">
                  <c:v>0.0764016498002289</c:v>
                </c:pt>
              </c:numCache>
            </c:numRef>
          </c:val>
          <c:smooth val="0"/>
        </c:ser>
        <c:dLbls>
          <c:showLegendKey val="0"/>
          <c:showVal val="0"/>
          <c:showCatName val="0"/>
          <c:showSerName val="0"/>
          <c:showPercent val="0"/>
          <c:showBubbleSize val="0"/>
        </c:dLbls>
        <c:marker val="1"/>
        <c:smooth val="0"/>
        <c:axId val="2108036328"/>
        <c:axId val="2108065144"/>
      </c:lineChart>
      <c:catAx>
        <c:axId val="2108193992"/>
        <c:scaling>
          <c:orientation val="minMax"/>
        </c:scaling>
        <c:delete val="0"/>
        <c:axPos val="b"/>
        <c:numFmt formatCode="General" sourceLinked="1"/>
        <c:majorTickMark val="out"/>
        <c:minorTickMark val="none"/>
        <c:tickLblPos val="nextTo"/>
        <c:crossAx val="2107941752"/>
        <c:crosses val="autoZero"/>
        <c:auto val="1"/>
        <c:lblAlgn val="ctr"/>
        <c:lblOffset val="100"/>
        <c:noMultiLvlLbl val="0"/>
      </c:catAx>
      <c:valAx>
        <c:axId val="2107941752"/>
        <c:scaling>
          <c:orientation val="minMax"/>
        </c:scaling>
        <c:delete val="0"/>
        <c:axPos val="l"/>
        <c:majorGridlines/>
        <c:numFmt formatCode="0.00%" sourceLinked="1"/>
        <c:majorTickMark val="out"/>
        <c:minorTickMark val="none"/>
        <c:tickLblPos val="nextTo"/>
        <c:crossAx val="2108193992"/>
        <c:crosses val="autoZero"/>
        <c:crossBetween val="between"/>
      </c:valAx>
      <c:valAx>
        <c:axId val="2108065144"/>
        <c:scaling>
          <c:orientation val="minMax"/>
          <c:max val="0.3"/>
        </c:scaling>
        <c:delete val="0"/>
        <c:axPos val="r"/>
        <c:numFmt formatCode="0.00%" sourceLinked="1"/>
        <c:majorTickMark val="out"/>
        <c:minorTickMark val="none"/>
        <c:tickLblPos val="nextTo"/>
        <c:crossAx val="2108036328"/>
        <c:crosses val="max"/>
        <c:crossBetween val="between"/>
      </c:valAx>
      <c:catAx>
        <c:axId val="2108036328"/>
        <c:scaling>
          <c:orientation val="minMax"/>
        </c:scaling>
        <c:delete val="1"/>
        <c:axPos val="b"/>
        <c:numFmt formatCode="General" sourceLinked="1"/>
        <c:majorTickMark val="out"/>
        <c:minorTickMark val="none"/>
        <c:tickLblPos val="nextTo"/>
        <c:crossAx val="2108065144"/>
        <c:crosses val="autoZero"/>
        <c:auto val="1"/>
        <c:lblAlgn val="ctr"/>
        <c:lblOffset val="100"/>
        <c:noMultiLvlLbl val="0"/>
      </c:catAx>
    </c:plotArea>
    <c:legend>
      <c:legendPos val="b"/>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7"/>
    </mc:Choice>
    <mc:Fallback>
      <c:style val="17"/>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1"/>
          <c:order val="1"/>
          <c:tx>
            <c:strRef>
              <c:f>'[8 ARP with constant rate of ex..xlsx]Foglio1'!$X$76</c:f>
              <c:strCache>
                <c:ptCount val="1"/>
                <c:pt idx="0">
                  <c:v>ARP LHS</c:v>
                </c:pt>
              </c:strCache>
            </c:strRef>
          </c:tx>
          <c:spPr>
            <a:ln w="19050" cmpd="sng"/>
          </c:spPr>
          <c:marker>
            <c:symbol val="none"/>
          </c:marker>
          <c:cat>
            <c:numRef>
              <c:f>'[8 ARP with constant rate of ex..xlsx]Foglio1'!$V$77:$V$139</c:f>
              <c:numCache>
                <c:formatCode>General</c:formatCode>
                <c:ptCount val="63"/>
                <c:pt idx="0">
                  <c:v>1948.0</c:v>
                </c:pt>
                <c:pt idx="1">
                  <c:v>1949.0</c:v>
                </c:pt>
                <c:pt idx="2">
                  <c:v>1950.0</c:v>
                </c:pt>
                <c:pt idx="3">
                  <c:v>1951.0</c:v>
                </c:pt>
                <c:pt idx="4">
                  <c:v>1952.0</c:v>
                </c:pt>
                <c:pt idx="5">
                  <c:v>1953.0</c:v>
                </c:pt>
                <c:pt idx="6">
                  <c:v>1954.0</c:v>
                </c:pt>
                <c:pt idx="7">
                  <c:v>1955.0</c:v>
                </c:pt>
                <c:pt idx="8">
                  <c:v>1956.0</c:v>
                </c:pt>
                <c:pt idx="9">
                  <c:v>1957.0</c:v>
                </c:pt>
                <c:pt idx="10">
                  <c:v>1958.0</c:v>
                </c:pt>
                <c:pt idx="11">
                  <c:v>1959.0</c:v>
                </c:pt>
                <c:pt idx="12">
                  <c:v>1960.0</c:v>
                </c:pt>
                <c:pt idx="13">
                  <c:v>1961.0</c:v>
                </c:pt>
                <c:pt idx="14">
                  <c:v>1962.0</c:v>
                </c:pt>
                <c:pt idx="15">
                  <c:v>1963.0</c:v>
                </c:pt>
                <c:pt idx="16">
                  <c:v>1964.0</c:v>
                </c:pt>
                <c:pt idx="17">
                  <c:v>1965.0</c:v>
                </c:pt>
                <c:pt idx="18">
                  <c:v>1966.0</c:v>
                </c:pt>
                <c:pt idx="19">
                  <c:v>1967.0</c:v>
                </c:pt>
                <c:pt idx="20">
                  <c:v>1968.0</c:v>
                </c:pt>
                <c:pt idx="21">
                  <c:v>1969.0</c:v>
                </c:pt>
                <c:pt idx="22">
                  <c:v>1970.0</c:v>
                </c:pt>
                <c:pt idx="23">
                  <c:v>1971.0</c:v>
                </c:pt>
                <c:pt idx="24">
                  <c:v>1972.0</c:v>
                </c:pt>
                <c:pt idx="25">
                  <c:v>1973.0</c:v>
                </c:pt>
                <c:pt idx="26">
                  <c:v>1974.0</c:v>
                </c:pt>
                <c:pt idx="27">
                  <c:v>1975.0</c:v>
                </c:pt>
                <c:pt idx="28">
                  <c:v>1976.0</c:v>
                </c:pt>
                <c:pt idx="29">
                  <c:v>1977.0</c:v>
                </c:pt>
                <c:pt idx="30">
                  <c:v>1978.0</c:v>
                </c:pt>
                <c:pt idx="31">
                  <c:v>1979.0</c:v>
                </c:pt>
                <c:pt idx="32">
                  <c:v>1980.0</c:v>
                </c:pt>
                <c:pt idx="33">
                  <c:v>1981.0</c:v>
                </c:pt>
                <c:pt idx="34">
                  <c:v>1982.0</c:v>
                </c:pt>
                <c:pt idx="35">
                  <c:v>1983.0</c:v>
                </c:pt>
                <c:pt idx="36">
                  <c:v>1984.0</c:v>
                </c:pt>
                <c:pt idx="37">
                  <c:v>1985.0</c:v>
                </c:pt>
                <c:pt idx="38">
                  <c:v>1986.0</c:v>
                </c:pt>
                <c:pt idx="39">
                  <c:v>1987.0</c:v>
                </c:pt>
                <c:pt idx="40">
                  <c:v>1988.0</c:v>
                </c:pt>
                <c:pt idx="41">
                  <c:v>1989.0</c:v>
                </c:pt>
                <c:pt idx="42">
                  <c:v>1990.0</c:v>
                </c:pt>
                <c:pt idx="43">
                  <c:v>1991.0</c:v>
                </c:pt>
                <c:pt idx="44">
                  <c:v>1992.0</c:v>
                </c:pt>
                <c:pt idx="45">
                  <c:v>1993.0</c:v>
                </c:pt>
                <c:pt idx="46">
                  <c:v>1994.0</c:v>
                </c:pt>
                <c:pt idx="47">
                  <c:v>1995.0</c:v>
                </c:pt>
                <c:pt idx="48">
                  <c:v>1996.0</c:v>
                </c:pt>
                <c:pt idx="49">
                  <c:v>1997.0</c:v>
                </c:pt>
                <c:pt idx="50">
                  <c:v>1998.0</c:v>
                </c:pt>
                <c:pt idx="51">
                  <c:v>1999.0</c:v>
                </c:pt>
                <c:pt idx="52">
                  <c:v>2000.0</c:v>
                </c:pt>
                <c:pt idx="53">
                  <c:v>2001.0</c:v>
                </c:pt>
                <c:pt idx="54">
                  <c:v>2002.0</c:v>
                </c:pt>
                <c:pt idx="55">
                  <c:v>2003.0</c:v>
                </c:pt>
                <c:pt idx="56">
                  <c:v>2004.0</c:v>
                </c:pt>
                <c:pt idx="57">
                  <c:v>2005.0</c:v>
                </c:pt>
                <c:pt idx="58">
                  <c:v>2006.0</c:v>
                </c:pt>
                <c:pt idx="59">
                  <c:v>2007.0</c:v>
                </c:pt>
                <c:pt idx="60">
                  <c:v>2008.0</c:v>
                </c:pt>
                <c:pt idx="61">
                  <c:v>2009.0</c:v>
                </c:pt>
                <c:pt idx="62">
                  <c:v>2010.0</c:v>
                </c:pt>
              </c:numCache>
            </c:numRef>
          </c:cat>
          <c:val>
            <c:numRef>
              <c:f>'[8 ARP with constant rate of ex..xlsx]Foglio1'!$X$77:$X$139</c:f>
              <c:numCache>
                <c:formatCode>General</c:formatCode>
                <c:ptCount val="63"/>
                <c:pt idx="0">
                  <c:v>17.3</c:v>
                </c:pt>
                <c:pt idx="1">
                  <c:v>13.8</c:v>
                </c:pt>
                <c:pt idx="2">
                  <c:v>20.93</c:v>
                </c:pt>
                <c:pt idx="3">
                  <c:v>18.86</c:v>
                </c:pt>
                <c:pt idx="4">
                  <c:v>14.04</c:v>
                </c:pt>
                <c:pt idx="5">
                  <c:v>13.74</c:v>
                </c:pt>
                <c:pt idx="6">
                  <c:v>12.41</c:v>
                </c:pt>
                <c:pt idx="7">
                  <c:v>15.48</c:v>
                </c:pt>
                <c:pt idx="8">
                  <c:v>13.89</c:v>
                </c:pt>
                <c:pt idx="9">
                  <c:v>13.01</c:v>
                </c:pt>
                <c:pt idx="10">
                  <c:v>10.02</c:v>
                </c:pt>
                <c:pt idx="11">
                  <c:v>12.51</c:v>
                </c:pt>
                <c:pt idx="12">
                  <c:v>10.81</c:v>
                </c:pt>
                <c:pt idx="13">
                  <c:v>10.2</c:v>
                </c:pt>
                <c:pt idx="14">
                  <c:v>10.89</c:v>
                </c:pt>
                <c:pt idx="15">
                  <c:v>11.63</c:v>
                </c:pt>
                <c:pt idx="16">
                  <c:v>12.14</c:v>
                </c:pt>
                <c:pt idx="17">
                  <c:v>13.72</c:v>
                </c:pt>
                <c:pt idx="18">
                  <c:v>13.47</c:v>
                </c:pt>
                <c:pt idx="19">
                  <c:v>11.71</c:v>
                </c:pt>
                <c:pt idx="20">
                  <c:v>11.98</c:v>
                </c:pt>
                <c:pt idx="21">
                  <c:v>10.35</c:v>
                </c:pt>
                <c:pt idx="22">
                  <c:v>7.78</c:v>
                </c:pt>
                <c:pt idx="23">
                  <c:v>8.98</c:v>
                </c:pt>
                <c:pt idx="24">
                  <c:v>10.02</c:v>
                </c:pt>
                <c:pt idx="25">
                  <c:v>11.44</c:v>
                </c:pt>
                <c:pt idx="26">
                  <c:v>11.46</c:v>
                </c:pt>
                <c:pt idx="27">
                  <c:v>10.99</c:v>
                </c:pt>
                <c:pt idx="28">
                  <c:v>12.73</c:v>
                </c:pt>
                <c:pt idx="29">
                  <c:v>12.85</c:v>
                </c:pt>
                <c:pt idx="30">
                  <c:v>13.03</c:v>
                </c:pt>
                <c:pt idx="31">
                  <c:v>12.47</c:v>
                </c:pt>
                <c:pt idx="32">
                  <c:v>10.18</c:v>
                </c:pt>
                <c:pt idx="33">
                  <c:v>9.15</c:v>
                </c:pt>
                <c:pt idx="34">
                  <c:v>5.72</c:v>
                </c:pt>
                <c:pt idx="35">
                  <c:v>5.84</c:v>
                </c:pt>
                <c:pt idx="36">
                  <c:v>6.54</c:v>
                </c:pt>
                <c:pt idx="37">
                  <c:v>5.46</c:v>
                </c:pt>
                <c:pt idx="38">
                  <c:v>3.86</c:v>
                </c:pt>
                <c:pt idx="39">
                  <c:v>6.6</c:v>
                </c:pt>
                <c:pt idx="40">
                  <c:v>8.8</c:v>
                </c:pt>
                <c:pt idx="41">
                  <c:v>7.7</c:v>
                </c:pt>
                <c:pt idx="42">
                  <c:v>7.17</c:v>
                </c:pt>
                <c:pt idx="43">
                  <c:v>5.46</c:v>
                </c:pt>
                <c:pt idx="44">
                  <c:v>5.63</c:v>
                </c:pt>
                <c:pt idx="45">
                  <c:v>6.3</c:v>
                </c:pt>
                <c:pt idx="46">
                  <c:v>8.01</c:v>
                </c:pt>
                <c:pt idx="47">
                  <c:v>8.98</c:v>
                </c:pt>
                <c:pt idx="48">
                  <c:v>8.88</c:v>
                </c:pt>
                <c:pt idx="49">
                  <c:v>9.23</c:v>
                </c:pt>
                <c:pt idx="50">
                  <c:v>6.63</c:v>
                </c:pt>
                <c:pt idx="51">
                  <c:v>6.5</c:v>
                </c:pt>
                <c:pt idx="52">
                  <c:v>6.63</c:v>
                </c:pt>
                <c:pt idx="53">
                  <c:v>3.42</c:v>
                </c:pt>
                <c:pt idx="54">
                  <c:v>3.01</c:v>
                </c:pt>
                <c:pt idx="55">
                  <c:v>4.17</c:v>
                </c:pt>
                <c:pt idx="56">
                  <c:v>7.81</c:v>
                </c:pt>
                <c:pt idx="57">
                  <c:v>11.46</c:v>
                </c:pt>
                <c:pt idx="58">
                  <c:v>13.1</c:v>
                </c:pt>
                <c:pt idx="59">
                  <c:v>11.0</c:v>
                </c:pt>
                <c:pt idx="60">
                  <c:v>7.8</c:v>
                </c:pt>
                <c:pt idx="61">
                  <c:v>4.44</c:v>
                </c:pt>
                <c:pt idx="62">
                  <c:v>7.64</c:v>
                </c:pt>
              </c:numCache>
            </c:numRef>
          </c:val>
          <c:smooth val="0"/>
        </c:ser>
        <c:dLbls>
          <c:showLegendKey val="0"/>
          <c:showVal val="0"/>
          <c:showCatName val="0"/>
          <c:showSerName val="0"/>
          <c:showPercent val="0"/>
          <c:showBubbleSize val="0"/>
        </c:dLbls>
        <c:marker val="1"/>
        <c:smooth val="0"/>
        <c:axId val="2108021928"/>
        <c:axId val="2108007592"/>
      </c:lineChart>
      <c:lineChart>
        <c:grouping val="standard"/>
        <c:varyColors val="0"/>
        <c:ser>
          <c:idx val="0"/>
          <c:order val="0"/>
          <c:tx>
            <c:strRef>
              <c:f>'[8 ARP with constant rate of ex..xlsx]Foglio1'!$W$76</c:f>
              <c:strCache>
                <c:ptCount val="1"/>
                <c:pt idx="0">
                  <c:v>CE-ARP RHS</c:v>
                </c:pt>
              </c:strCache>
            </c:strRef>
          </c:tx>
          <c:spPr>
            <a:ln w="19050" cmpd="sng"/>
          </c:spPr>
          <c:marker>
            <c:symbol val="none"/>
          </c:marker>
          <c:dPt>
            <c:idx val="31"/>
            <c:bubble3D val="0"/>
          </c:dPt>
          <c:cat>
            <c:numRef>
              <c:f>'[8 ARP with constant rate of ex..xlsx]Foglio1'!$V$77:$V$139</c:f>
              <c:numCache>
                <c:formatCode>General</c:formatCode>
                <c:ptCount val="63"/>
                <c:pt idx="0">
                  <c:v>1948.0</c:v>
                </c:pt>
                <c:pt idx="1">
                  <c:v>1949.0</c:v>
                </c:pt>
                <c:pt idx="2">
                  <c:v>1950.0</c:v>
                </c:pt>
                <c:pt idx="3">
                  <c:v>1951.0</c:v>
                </c:pt>
                <c:pt idx="4">
                  <c:v>1952.0</c:v>
                </c:pt>
                <c:pt idx="5">
                  <c:v>1953.0</c:v>
                </c:pt>
                <c:pt idx="6">
                  <c:v>1954.0</c:v>
                </c:pt>
                <c:pt idx="7">
                  <c:v>1955.0</c:v>
                </c:pt>
                <c:pt idx="8">
                  <c:v>1956.0</c:v>
                </c:pt>
                <c:pt idx="9">
                  <c:v>1957.0</c:v>
                </c:pt>
                <c:pt idx="10">
                  <c:v>1958.0</c:v>
                </c:pt>
                <c:pt idx="11">
                  <c:v>1959.0</c:v>
                </c:pt>
                <c:pt idx="12">
                  <c:v>1960.0</c:v>
                </c:pt>
                <c:pt idx="13">
                  <c:v>1961.0</c:v>
                </c:pt>
                <c:pt idx="14">
                  <c:v>1962.0</c:v>
                </c:pt>
                <c:pt idx="15">
                  <c:v>1963.0</c:v>
                </c:pt>
                <c:pt idx="16">
                  <c:v>1964.0</c:v>
                </c:pt>
                <c:pt idx="17">
                  <c:v>1965.0</c:v>
                </c:pt>
                <c:pt idx="18">
                  <c:v>1966.0</c:v>
                </c:pt>
                <c:pt idx="19">
                  <c:v>1967.0</c:v>
                </c:pt>
                <c:pt idx="20">
                  <c:v>1968.0</c:v>
                </c:pt>
                <c:pt idx="21">
                  <c:v>1969.0</c:v>
                </c:pt>
                <c:pt idx="22">
                  <c:v>1970.0</c:v>
                </c:pt>
                <c:pt idx="23">
                  <c:v>1971.0</c:v>
                </c:pt>
                <c:pt idx="24">
                  <c:v>1972.0</c:v>
                </c:pt>
                <c:pt idx="25">
                  <c:v>1973.0</c:v>
                </c:pt>
                <c:pt idx="26">
                  <c:v>1974.0</c:v>
                </c:pt>
                <c:pt idx="27">
                  <c:v>1975.0</c:v>
                </c:pt>
                <c:pt idx="28">
                  <c:v>1976.0</c:v>
                </c:pt>
                <c:pt idx="29">
                  <c:v>1977.0</c:v>
                </c:pt>
                <c:pt idx="30">
                  <c:v>1978.0</c:v>
                </c:pt>
                <c:pt idx="31">
                  <c:v>1979.0</c:v>
                </c:pt>
                <c:pt idx="32">
                  <c:v>1980.0</c:v>
                </c:pt>
                <c:pt idx="33">
                  <c:v>1981.0</c:v>
                </c:pt>
                <c:pt idx="34">
                  <c:v>1982.0</c:v>
                </c:pt>
                <c:pt idx="35">
                  <c:v>1983.0</c:v>
                </c:pt>
                <c:pt idx="36">
                  <c:v>1984.0</c:v>
                </c:pt>
                <c:pt idx="37">
                  <c:v>1985.0</c:v>
                </c:pt>
                <c:pt idx="38">
                  <c:v>1986.0</c:v>
                </c:pt>
                <c:pt idx="39">
                  <c:v>1987.0</c:v>
                </c:pt>
                <c:pt idx="40">
                  <c:v>1988.0</c:v>
                </c:pt>
                <c:pt idx="41">
                  <c:v>1989.0</c:v>
                </c:pt>
                <c:pt idx="42">
                  <c:v>1990.0</c:v>
                </c:pt>
                <c:pt idx="43">
                  <c:v>1991.0</c:v>
                </c:pt>
                <c:pt idx="44">
                  <c:v>1992.0</c:v>
                </c:pt>
                <c:pt idx="45">
                  <c:v>1993.0</c:v>
                </c:pt>
                <c:pt idx="46">
                  <c:v>1994.0</c:v>
                </c:pt>
                <c:pt idx="47">
                  <c:v>1995.0</c:v>
                </c:pt>
                <c:pt idx="48">
                  <c:v>1996.0</c:v>
                </c:pt>
                <c:pt idx="49">
                  <c:v>1997.0</c:v>
                </c:pt>
                <c:pt idx="50">
                  <c:v>1998.0</c:v>
                </c:pt>
                <c:pt idx="51">
                  <c:v>1999.0</c:v>
                </c:pt>
                <c:pt idx="52">
                  <c:v>2000.0</c:v>
                </c:pt>
                <c:pt idx="53">
                  <c:v>2001.0</c:v>
                </c:pt>
                <c:pt idx="54">
                  <c:v>2002.0</c:v>
                </c:pt>
                <c:pt idx="55">
                  <c:v>2003.0</c:v>
                </c:pt>
                <c:pt idx="56">
                  <c:v>2004.0</c:v>
                </c:pt>
                <c:pt idx="57">
                  <c:v>2005.0</c:v>
                </c:pt>
                <c:pt idx="58">
                  <c:v>2006.0</c:v>
                </c:pt>
                <c:pt idx="59">
                  <c:v>2007.0</c:v>
                </c:pt>
                <c:pt idx="60">
                  <c:v>2008.0</c:v>
                </c:pt>
                <c:pt idx="61">
                  <c:v>2009.0</c:v>
                </c:pt>
                <c:pt idx="62">
                  <c:v>2010.0</c:v>
                </c:pt>
              </c:numCache>
            </c:numRef>
          </c:cat>
          <c:val>
            <c:numRef>
              <c:f>'[8 ARP with constant rate of ex..xlsx]Foglio1'!$W$77:$W$139</c:f>
              <c:numCache>
                <c:formatCode>General</c:formatCode>
                <c:ptCount val="63"/>
                <c:pt idx="0">
                  <c:v>11.65</c:v>
                </c:pt>
                <c:pt idx="1">
                  <c:v>10.68</c:v>
                </c:pt>
                <c:pt idx="2">
                  <c:v>10.48</c:v>
                </c:pt>
                <c:pt idx="3">
                  <c:v>11.49</c:v>
                </c:pt>
                <c:pt idx="4">
                  <c:v>12.41</c:v>
                </c:pt>
                <c:pt idx="5">
                  <c:v>12.27</c:v>
                </c:pt>
                <c:pt idx="6">
                  <c:v>10.82</c:v>
                </c:pt>
                <c:pt idx="7">
                  <c:v>11.74</c:v>
                </c:pt>
                <c:pt idx="8">
                  <c:v>12.43</c:v>
                </c:pt>
                <c:pt idx="9">
                  <c:v>10.88</c:v>
                </c:pt>
                <c:pt idx="10">
                  <c:v>10.69000215807932</c:v>
                </c:pt>
                <c:pt idx="11">
                  <c:v>11.3</c:v>
                </c:pt>
                <c:pt idx="12">
                  <c:v>11.06</c:v>
                </c:pt>
                <c:pt idx="13">
                  <c:v>10.7</c:v>
                </c:pt>
                <c:pt idx="14">
                  <c:v>11.12</c:v>
                </c:pt>
                <c:pt idx="15">
                  <c:v>10.87</c:v>
                </c:pt>
                <c:pt idx="16">
                  <c:v>10.99</c:v>
                </c:pt>
                <c:pt idx="17">
                  <c:v>11.09</c:v>
                </c:pt>
                <c:pt idx="18">
                  <c:v>11.2</c:v>
                </c:pt>
                <c:pt idx="19">
                  <c:v>10.68</c:v>
                </c:pt>
                <c:pt idx="20">
                  <c:v>10.81</c:v>
                </c:pt>
                <c:pt idx="21">
                  <c:v>10.9</c:v>
                </c:pt>
                <c:pt idx="22">
                  <c:v>10.26</c:v>
                </c:pt>
                <c:pt idx="23">
                  <c:v>10.23</c:v>
                </c:pt>
                <c:pt idx="24">
                  <c:v>10.86</c:v>
                </c:pt>
                <c:pt idx="25">
                  <c:v>11.0</c:v>
                </c:pt>
                <c:pt idx="26">
                  <c:v>10.099</c:v>
                </c:pt>
                <c:pt idx="27">
                  <c:v>9.5</c:v>
                </c:pt>
                <c:pt idx="28">
                  <c:v>10.76</c:v>
                </c:pt>
                <c:pt idx="29">
                  <c:v>10.81</c:v>
                </c:pt>
                <c:pt idx="30">
                  <c:v>11.0</c:v>
                </c:pt>
                <c:pt idx="31">
                  <c:v>10.63</c:v>
                </c:pt>
                <c:pt idx="32">
                  <c:v>9.8</c:v>
                </c:pt>
                <c:pt idx="33">
                  <c:v>9.9</c:v>
                </c:pt>
                <c:pt idx="34">
                  <c:v>9.33</c:v>
                </c:pt>
                <c:pt idx="35">
                  <c:v>9.25</c:v>
                </c:pt>
                <c:pt idx="36">
                  <c:v>9.710000000000001</c:v>
                </c:pt>
                <c:pt idx="37">
                  <c:v>9.36</c:v>
                </c:pt>
                <c:pt idx="38">
                  <c:v>9.73</c:v>
                </c:pt>
                <c:pt idx="39">
                  <c:v>8.92</c:v>
                </c:pt>
                <c:pt idx="40">
                  <c:v>9.44</c:v>
                </c:pt>
                <c:pt idx="41">
                  <c:v>9.66</c:v>
                </c:pt>
                <c:pt idx="42">
                  <c:v>8.84</c:v>
                </c:pt>
                <c:pt idx="43">
                  <c:v>8.630000000000001</c:v>
                </c:pt>
                <c:pt idx="44">
                  <c:v>8.76</c:v>
                </c:pt>
                <c:pt idx="45">
                  <c:v>8.61</c:v>
                </c:pt>
                <c:pt idx="46">
                  <c:v>8.77</c:v>
                </c:pt>
                <c:pt idx="47">
                  <c:v>8.720000000000001</c:v>
                </c:pt>
                <c:pt idx="48">
                  <c:v>8.62</c:v>
                </c:pt>
                <c:pt idx="49">
                  <c:v>8.710000000000001</c:v>
                </c:pt>
                <c:pt idx="50">
                  <c:v>8.75</c:v>
                </c:pt>
                <c:pt idx="51">
                  <c:v>8.45</c:v>
                </c:pt>
                <c:pt idx="52">
                  <c:v>8.44</c:v>
                </c:pt>
                <c:pt idx="53">
                  <c:v>7.29</c:v>
                </c:pt>
                <c:pt idx="54">
                  <c:v>7.21</c:v>
                </c:pt>
                <c:pt idx="55">
                  <c:v>7.149999999999999</c:v>
                </c:pt>
                <c:pt idx="56">
                  <c:v>7.25</c:v>
                </c:pt>
                <c:pt idx="57">
                  <c:v>7.3</c:v>
                </c:pt>
                <c:pt idx="58">
                  <c:v>7.54</c:v>
                </c:pt>
                <c:pt idx="59">
                  <c:v>7.39</c:v>
                </c:pt>
                <c:pt idx="60">
                  <c:v>6.83</c:v>
                </c:pt>
                <c:pt idx="61">
                  <c:v>5.99</c:v>
                </c:pt>
                <c:pt idx="62">
                  <c:v>5.94</c:v>
                </c:pt>
              </c:numCache>
            </c:numRef>
          </c:val>
          <c:smooth val="0"/>
        </c:ser>
        <c:dLbls>
          <c:showLegendKey val="0"/>
          <c:showVal val="0"/>
          <c:showCatName val="0"/>
          <c:showSerName val="0"/>
          <c:showPercent val="0"/>
          <c:showBubbleSize val="0"/>
        </c:dLbls>
        <c:marker val="1"/>
        <c:smooth val="0"/>
        <c:axId val="2107857288"/>
        <c:axId val="2022821160"/>
      </c:lineChart>
      <c:catAx>
        <c:axId val="2108021928"/>
        <c:scaling>
          <c:orientation val="minMax"/>
        </c:scaling>
        <c:delete val="0"/>
        <c:axPos val="b"/>
        <c:numFmt formatCode="General" sourceLinked="1"/>
        <c:majorTickMark val="out"/>
        <c:minorTickMark val="none"/>
        <c:tickLblPos val="nextTo"/>
        <c:crossAx val="2108007592"/>
        <c:crosses val="autoZero"/>
        <c:auto val="1"/>
        <c:lblAlgn val="ctr"/>
        <c:lblOffset val="100"/>
        <c:noMultiLvlLbl val="0"/>
      </c:catAx>
      <c:valAx>
        <c:axId val="2108007592"/>
        <c:scaling>
          <c:orientation val="minMax"/>
        </c:scaling>
        <c:delete val="0"/>
        <c:axPos val="l"/>
        <c:majorGridlines/>
        <c:numFmt formatCode="General" sourceLinked="1"/>
        <c:majorTickMark val="out"/>
        <c:minorTickMark val="none"/>
        <c:tickLblPos val="nextTo"/>
        <c:crossAx val="2108021928"/>
        <c:crosses val="autoZero"/>
        <c:crossBetween val="between"/>
      </c:valAx>
      <c:valAx>
        <c:axId val="2022821160"/>
        <c:scaling>
          <c:orientation val="minMax"/>
          <c:min val="5.0"/>
        </c:scaling>
        <c:delete val="0"/>
        <c:axPos val="r"/>
        <c:numFmt formatCode="General" sourceLinked="1"/>
        <c:majorTickMark val="out"/>
        <c:minorTickMark val="none"/>
        <c:tickLblPos val="nextTo"/>
        <c:crossAx val="2107857288"/>
        <c:crosses val="max"/>
        <c:crossBetween val="between"/>
      </c:valAx>
      <c:catAx>
        <c:axId val="2107857288"/>
        <c:scaling>
          <c:orientation val="minMax"/>
        </c:scaling>
        <c:delete val="1"/>
        <c:axPos val="b"/>
        <c:numFmt formatCode="General" sourceLinked="1"/>
        <c:majorTickMark val="out"/>
        <c:minorTickMark val="none"/>
        <c:tickLblPos val="nextTo"/>
        <c:crossAx val="2022821160"/>
        <c:crosses val="autoZero"/>
        <c:auto val="1"/>
        <c:lblAlgn val="ctr"/>
        <c:lblOffset val="100"/>
        <c:noMultiLvlLbl val="0"/>
      </c:catAx>
    </c:plotArea>
    <c:legend>
      <c:legendPos val="b"/>
      <c:layout/>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1"/>
          <c:order val="1"/>
          <c:tx>
            <c:strRef>
              <c:f>'[7 ARP and OCC.xlsx]Foglio1'!$O$4</c:f>
              <c:strCache>
                <c:ptCount val="1"/>
                <c:pt idx="0">
                  <c:v>CE-ARP RHA</c:v>
                </c:pt>
              </c:strCache>
            </c:strRef>
          </c:tx>
          <c:spPr>
            <a:ln w="19050" cmpd="sng">
              <a:solidFill>
                <a:srgbClr val="FF0000"/>
              </a:solidFill>
              <a:prstDash val="sysDash"/>
            </a:ln>
          </c:spPr>
          <c:marker>
            <c:symbol val="none"/>
          </c:marker>
          <c:cat>
            <c:numRef>
              <c:f>'[7 ARP and OCC.xlsx]Foglio1'!$M$5:$M$68</c:f>
              <c:numCache>
                <c:formatCode>General</c:formatCode>
                <c:ptCount val="64"/>
                <c:pt idx="0">
                  <c:v>1947.0</c:v>
                </c:pt>
                <c:pt idx="1">
                  <c:v>1948.0</c:v>
                </c:pt>
                <c:pt idx="2">
                  <c:v>1949.0</c:v>
                </c:pt>
                <c:pt idx="3">
                  <c:v>1950.0</c:v>
                </c:pt>
                <c:pt idx="4">
                  <c:v>1951.0</c:v>
                </c:pt>
                <c:pt idx="5">
                  <c:v>1952.0</c:v>
                </c:pt>
                <c:pt idx="6">
                  <c:v>1953.0</c:v>
                </c:pt>
                <c:pt idx="7">
                  <c:v>1954.0</c:v>
                </c:pt>
                <c:pt idx="8">
                  <c:v>1955.0</c:v>
                </c:pt>
                <c:pt idx="9">
                  <c:v>1956.0</c:v>
                </c:pt>
                <c:pt idx="10">
                  <c:v>1957.0</c:v>
                </c:pt>
                <c:pt idx="11">
                  <c:v>1958.0</c:v>
                </c:pt>
                <c:pt idx="12">
                  <c:v>1959.0</c:v>
                </c:pt>
                <c:pt idx="13">
                  <c:v>1960.0</c:v>
                </c:pt>
                <c:pt idx="14">
                  <c:v>1961.0</c:v>
                </c:pt>
                <c:pt idx="15">
                  <c:v>1962.0</c:v>
                </c:pt>
                <c:pt idx="16">
                  <c:v>1963.0</c:v>
                </c:pt>
                <c:pt idx="17">
                  <c:v>1964.0</c:v>
                </c:pt>
                <c:pt idx="18">
                  <c:v>1965.0</c:v>
                </c:pt>
                <c:pt idx="19">
                  <c:v>1966.0</c:v>
                </c:pt>
                <c:pt idx="20">
                  <c:v>1967.0</c:v>
                </c:pt>
                <c:pt idx="21">
                  <c:v>1968.0</c:v>
                </c:pt>
                <c:pt idx="22">
                  <c:v>1969.0</c:v>
                </c:pt>
                <c:pt idx="23">
                  <c:v>1970.0</c:v>
                </c:pt>
                <c:pt idx="24">
                  <c:v>1971.0</c:v>
                </c:pt>
                <c:pt idx="25">
                  <c:v>1972.0</c:v>
                </c:pt>
                <c:pt idx="26">
                  <c:v>1973.0</c:v>
                </c:pt>
                <c:pt idx="27">
                  <c:v>1974.0</c:v>
                </c:pt>
                <c:pt idx="28">
                  <c:v>1975.0</c:v>
                </c:pt>
                <c:pt idx="29">
                  <c:v>1976.0</c:v>
                </c:pt>
                <c:pt idx="30">
                  <c:v>1977.0</c:v>
                </c:pt>
                <c:pt idx="31">
                  <c:v>1978.0</c:v>
                </c:pt>
                <c:pt idx="32">
                  <c:v>1979.0</c:v>
                </c:pt>
                <c:pt idx="33">
                  <c:v>1980.0</c:v>
                </c:pt>
                <c:pt idx="34">
                  <c:v>1981.0</c:v>
                </c:pt>
                <c:pt idx="35">
                  <c:v>1982.0</c:v>
                </c:pt>
                <c:pt idx="36">
                  <c:v>1983.0</c:v>
                </c:pt>
                <c:pt idx="37">
                  <c:v>1984.0</c:v>
                </c:pt>
                <c:pt idx="38">
                  <c:v>1985.0</c:v>
                </c:pt>
                <c:pt idx="39">
                  <c:v>1986.0</c:v>
                </c:pt>
                <c:pt idx="40">
                  <c:v>1987.0</c:v>
                </c:pt>
                <c:pt idx="41">
                  <c:v>1988.0</c:v>
                </c:pt>
                <c:pt idx="42">
                  <c:v>1989.0</c:v>
                </c:pt>
                <c:pt idx="43">
                  <c:v>1990.0</c:v>
                </c:pt>
                <c:pt idx="44">
                  <c:v>1991.0</c:v>
                </c:pt>
                <c:pt idx="45">
                  <c:v>1992.0</c:v>
                </c:pt>
                <c:pt idx="46">
                  <c:v>1993.0</c:v>
                </c:pt>
                <c:pt idx="47">
                  <c:v>1994.0</c:v>
                </c:pt>
                <c:pt idx="48">
                  <c:v>1995.0</c:v>
                </c:pt>
                <c:pt idx="49">
                  <c:v>1996.0</c:v>
                </c:pt>
                <c:pt idx="50">
                  <c:v>1997.0</c:v>
                </c:pt>
                <c:pt idx="51">
                  <c:v>1998.0</c:v>
                </c:pt>
                <c:pt idx="52">
                  <c:v>1999.0</c:v>
                </c:pt>
                <c:pt idx="53">
                  <c:v>2000.0</c:v>
                </c:pt>
                <c:pt idx="54">
                  <c:v>2001.0</c:v>
                </c:pt>
                <c:pt idx="55">
                  <c:v>2002.0</c:v>
                </c:pt>
                <c:pt idx="56">
                  <c:v>2003.0</c:v>
                </c:pt>
                <c:pt idx="57">
                  <c:v>2004.0</c:v>
                </c:pt>
                <c:pt idx="58">
                  <c:v>2005.0</c:v>
                </c:pt>
                <c:pt idx="59">
                  <c:v>2006.0</c:v>
                </c:pt>
                <c:pt idx="60">
                  <c:v>2007.0</c:v>
                </c:pt>
                <c:pt idx="61">
                  <c:v>2008.0</c:v>
                </c:pt>
                <c:pt idx="62">
                  <c:v>2009.0</c:v>
                </c:pt>
                <c:pt idx="63">
                  <c:v>2010.0</c:v>
                </c:pt>
              </c:numCache>
            </c:numRef>
          </c:cat>
          <c:val>
            <c:numRef>
              <c:f>'[7 ARP and OCC.xlsx]Foglio1'!$O$5:$O$68</c:f>
              <c:numCache>
                <c:formatCode>General</c:formatCode>
                <c:ptCount val="64"/>
                <c:pt idx="1">
                  <c:v>11.6586141504594</c:v>
                </c:pt>
                <c:pt idx="2">
                  <c:v>10.68516550668883</c:v>
                </c:pt>
                <c:pt idx="3">
                  <c:v>10.482889002274</c:v>
                </c:pt>
                <c:pt idx="4">
                  <c:v>11.49829860498972</c:v>
                </c:pt>
                <c:pt idx="5">
                  <c:v>12.4117529077759</c:v>
                </c:pt>
                <c:pt idx="6">
                  <c:v>12.27536170899472</c:v>
                </c:pt>
                <c:pt idx="7">
                  <c:v>10.8215278651518</c:v>
                </c:pt>
                <c:pt idx="8">
                  <c:v>11.74040610087324</c:v>
                </c:pt>
                <c:pt idx="9">
                  <c:v>12.43277634561695</c:v>
                </c:pt>
                <c:pt idx="10">
                  <c:v>10.88182793212092</c:v>
                </c:pt>
                <c:pt idx="11">
                  <c:v>10.69000215807932</c:v>
                </c:pt>
                <c:pt idx="12">
                  <c:v>11.30777388573031</c:v>
                </c:pt>
                <c:pt idx="13">
                  <c:v>11.0653815951093</c:v>
                </c:pt>
                <c:pt idx="14">
                  <c:v>10.70300962461998</c:v>
                </c:pt>
                <c:pt idx="15">
                  <c:v>11.1225153452591</c:v>
                </c:pt>
                <c:pt idx="16">
                  <c:v>10.8775167532767</c:v>
                </c:pt>
                <c:pt idx="17">
                  <c:v>10.99993582226462</c:v>
                </c:pt>
                <c:pt idx="18">
                  <c:v>11.09782275141041</c:v>
                </c:pt>
                <c:pt idx="19">
                  <c:v>11.206319934239</c:v>
                </c:pt>
                <c:pt idx="20">
                  <c:v>10.68258729927918</c:v>
                </c:pt>
                <c:pt idx="21">
                  <c:v>10.81480112460505</c:v>
                </c:pt>
                <c:pt idx="22">
                  <c:v>10.90477346942332</c:v>
                </c:pt>
                <c:pt idx="23">
                  <c:v>10.2629356698633</c:v>
                </c:pt>
                <c:pt idx="24">
                  <c:v>10.23330323901056</c:v>
                </c:pt>
                <c:pt idx="25">
                  <c:v>10.86003759993245</c:v>
                </c:pt>
                <c:pt idx="26">
                  <c:v>11.0099223388349</c:v>
                </c:pt>
                <c:pt idx="27">
                  <c:v>10.0999362007305</c:v>
                </c:pt>
                <c:pt idx="28">
                  <c:v>9.508741474915068</c:v>
                </c:pt>
                <c:pt idx="29">
                  <c:v>10.76453989980862</c:v>
                </c:pt>
                <c:pt idx="30">
                  <c:v>10.81733740802416</c:v>
                </c:pt>
                <c:pt idx="31">
                  <c:v>11.00977262150871</c:v>
                </c:pt>
                <c:pt idx="32">
                  <c:v>10.63441347626796</c:v>
                </c:pt>
                <c:pt idx="33">
                  <c:v>9.809258192624234</c:v>
                </c:pt>
                <c:pt idx="34">
                  <c:v>9.907378677841963</c:v>
                </c:pt>
                <c:pt idx="35">
                  <c:v>9.33183729379181</c:v>
                </c:pt>
                <c:pt idx="36">
                  <c:v>9.257677293070868</c:v>
                </c:pt>
                <c:pt idx="37">
                  <c:v>9.711769503021181</c:v>
                </c:pt>
                <c:pt idx="38">
                  <c:v>9.36844285642741</c:v>
                </c:pt>
                <c:pt idx="39">
                  <c:v>9.735660118401725</c:v>
                </c:pt>
                <c:pt idx="40">
                  <c:v>8.92694553504579</c:v>
                </c:pt>
                <c:pt idx="41">
                  <c:v>9.44263044227411</c:v>
                </c:pt>
                <c:pt idx="42">
                  <c:v>9.668427824847936</c:v>
                </c:pt>
                <c:pt idx="43">
                  <c:v>8.842402705314402</c:v>
                </c:pt>
                <c:pt idx="44">
                  <c:v>8.636392338568064</c:v>
                </c:pt>
                <c:pt idx="45">
                  <c:v>8.76258047875998</c:v>
                </c:pt>
                <c:pt idx="46">
                  <c:v>8.613281909518843</c:v>
                </c:pt>
                <c:pt idx="47">
                  <c:v>8.771257252332738</c:v>
                </c:pt>
                <c:pt idx="48">
                  <c:v>8.720393736328018</c:v>
                </c:pt>
                <c:pt idx="49">
                  <c:v>8.620927328088548</c:v>
                </c:pt>
                <c:pt idx="50">
                  <c:v>8.712838779762234</c:v>
                </c:pt>
                <c:pt idx="51">
                  <c:v>8.75944439532296</c:v>
                </c:pt>
                <c:pt idx="52">
                  <c:v>8.458313717989837</c:v>
                </c:pt>
                <c:pt idx="53">
                  <c:v>8.44258664752312</c:v>
                </c:pt>
                <c:pt idx="54">
                  <c:v>7.290696309841688</c:v>
                </c:pt>
                <c:pt idx="55">
                  <c:v>7.211154826088881</c:v>
                </c:pt>
                <c:pt idx="56">
                  <c:v>7.156823242124694</c:v>
                </c:pt>
                <c:pt idx="57">
                  <c:v>7.256405982572683</c:v>
                </c:pt>
                <c:pt idx="58">
                  <c:v>7.306971834334897</c:v>
                </c:pt>
                <c:pt idx="59">
                  <c:v>7.540516073057941</c:v>
                </c:pt>
                <c:pt idx="60">
                  <c:v>7.394228550322128</c:v>
                </c:pt>
                <c:pt idx="61">
                  <c:v>6.836027254008521</c:v>
                </c:pt>
                <c:pt idx="62">
                  <c:v>5.995116684626606</c:v>
                </c:pt>
                <c:pt idx="63">
                  <c:v>5.94544892511516</c:v>
                </c:pt>
              </c:numCache>
            </c:numRef>
          </c:val>
          <c:smooth val="0"/>
        </c:ser>
        <c:dLbls>
          <c:showLegendKey val="0"/>
          <c:showVal val="0"/>
          <c:showCatName val="0"/>
          <c:showSerName val="0"/>
          <c:showPercent val="0"/>
          <c:showBubbleSize val="0"/>
        </c:dLbls>
        <c:marker val="1"/>
        <c:smooth val="0"/>
        <c:axId val="2107827640"/>
        <c:axId val="2064659848"/>
      </c:lineChart>
      <c:lineChart>
        <c:grouping val="standard"/>
        <c:varyColors val="0"/>
        <c:ser>
          <c:idx val="0"/>
          <c:order val="0"/>
          <c:tx>
            <c:strRef>
              <c:f>'[7 ARP and OCC.xlsx]Foglio1'!$N$4</c:f>
              <c:strCache>
                <c:ptCount val="1"/>
                <c:pt idx="0">
                  <c:v>OCC LHA</c:v>
                </c:pt>
              </c:strCache>
            </c:strRef>
          </c:tx>
          <c:spPr>
            <a:ln w="19050" cmpd="sng">
              <a:solidFill>
                <a:schemeClr val="tx1"/>
              </a:solidFill>
            </a:ln>
          </c:spPr>
          <c:marker>
            <c:symbol val="none"/>
          </c:marker>
          <c:cat>
            <c:numRef>
              <c:f>'[7 ARP and OCC.xlsx]Foglio1'!$M$5:$M$68</c:f>
              <c:numCache>
                <c:formatCode>General</c:formatCode>
                <c:ptCount val="64"/>
                <c:pt idx="0">
                  <c:v>1947.0</c:v>
                </c:pt>
                <c:pt idx="1">
                  <c:v>1948.0</c:v>
                </c:pt>
                <c:pt idx="2">
                  <c:v>1949.0</c:v>
                </c:pt>
                <c:pt idx="3">
                  <c:v>1950.0</c:v>
                </c:pt>
                <c:pt idx="4">
                  <c:v>1951.0</c:v>
                </c:pt>
                <c:pt idx="5">
                  <c:v>1952.0</c:v>
                </c:pt>
                <c:pt idx="6">
                  <c:v>1953.0</c:v>
                </c:pt>
                <c:pt idx="7">
                  <c:v>1954.0</c:v>
                </c:pt>
                <c:pt idx="8">
                  <c:v>1955.0</c:v>
                </c:pt>
                <c:pt idx="9">
                  <c:v>1956.0</c:v>
                </c:pt>
                <c:pt idx="10">
                  <c:v>1957.0</c:v>
                </c:pt>
                <c:pt idx="11">
                  <c:v>1958.0</c:v>
                </c:pt>
                <c:pt idx="12">
                  <c:v>1959.0</c:v>
                </c:pt>
                <c:pt idx="13">
                  <c:v>1960.0</c:v>
                </c:pt>
                <c:pt idx="14">
                  <c:v>1961.0</c:v>
                </c:pt>
                <c:pt idx="15">
                  <c:v>1962.0</c:v>
                </c:pt>
                <c:pt idx="16">
                  <c:v>1963.0</c:v>
                </c:pt>
                <c:pt idx="17">
                  <c:v>1964.0</c:v>
                </c:pt>
                <c:pt idx="18">
                  <c:v>1965.0</c:v>
                </c:pt>
                <c:pt idx="19">
                  <c:v>1966.0</c:v>
                </c:pt>
                <c:pt idx="20">
                  <c:v>1967.0</c:v>
                </c:pt>
                <c:pt idx="21">
                  <c:v>1968.0</c:v>
                </c:pt>
                <c:pt idx="22">
                  <c:v>1969.0</c:v>
                </c:pt>
                <c:pt idx="23">
                  <c:v>1970.0</c:v>
                </c:pt>
                <c:pt idx="24">
                  <c:v>1971.0</c:v>
                </c:pt>
                <c:pt idx="25">
                  <c:v>1972.0</c:v>
                </c:pt>
                <c:pt idx="26">
                  <c:v>1973.0</c:v>
                </c:pt>
                <c:pt idx="27">
                  <c:v>1974.0</c:v>
                </c:pt>
                <c:pt idx="28">
                  <c:v>1975.0</c:v>
                </c:pt>
                <c:pt idx="29">
                  <c:v>1976.0</c:v>
                </c:pt>
                <c:pt idx="30">
                  <c:v>1977.0</c:v>
                </c:pt>
                <c:pt idx="31">
                  <c:v>1978.0</c:v>
                </c:pt>
                <c:pt idx="32">
                  <c:v>1979.0</c:v>
                </c:pt>
                <c:pt idx="33">
                  <c:v>1980.0</c:v>
                </c:pt>
                <c:pt idx="34">
                  <c:v>1981.0</c:v>
                </c:pt>
                <c:pt idx="35">
                  <c:v>1982.0</c:v>
                </c:pt>
                <c:pt idx="36">
                  <c:v>1983.0</c:v>
                </c:pt>
                <c:pt idx="37">
                  <c:v>1984.0</c:v>
                </c:pt>
                <c:pt idx="38">
                  <c:v>1985.0</c:v>
                </c:pt>
                <c:pt idx="39">
                  <c:v>1986.0</c:v>
                </c:pt>
                <c:pt idx="40">
                  <c:v>1987.0</c:v>
                </c:pt>
                <c:pt idx="41">
                  <c:v>1988.0</c:v>
                </c:pt>
                <c:pt idx="42">
                  <c:v>1989.0</c:v>
                </c:pt>
                <c:pt idx="43">
                  <c:v>1990.0</c:v>
                </c:pt>
                <c:pt idx="44">
                  <c:v>1991.0</c:v>
                </c:pt>
                <c:pt idx="45">
                  <c:v>1992.0</c:v>
                </c:pt>
                <c:pt idx="46">
                  <c:v>1993.0</c:v>
                </c:pt>
                <c:pt idx="47">
                  <c:v>1994.0</c:v>
                </c:pt>
                <c:pt idx="48">
                  <c:v>1995.0</c:v>
                </c:pt>
                <c:pt idx="49">
                  <c:v>1996.0</c:v>
                </c:pt>
                <c:pt idx="50">
                  <c:v>1997.0</c:v>
                </c:pt>
                <c:pt idx="51">
                  <c:v>1998.0</c:v>
                </c:pt>
                <c:pt idx="52">
                  <c:v>1999.0</c:v>
                </c:pt>
                <c:pt idx="53">
                  <c:v>2000.0</c:v>
                </c:pt>
                <c:pt idx="54">
                  <c:v>2001.0</c:v>
                </c:pt>
                <c:pt idx="55">
                  <c:v>2002.0</c:v>
                </c:pt>
                <c:pt idx="56">
                  <c:v>2003.0</c:v>
                </c:pt>
                <c:pt idx="57">
                  <c:v>2004.0</c:v>
                </c:pt>
                <c:pt idx="58">
                  <c:v>2005.0</c:v>
                </c:pt>
                <c:pt idx="59">
                  <c:v>2006.0</c:v>
                </c:pt>
                <c:pt idx="60">
                  <c:v>2007.0</c:v>
                </c:pt>
                <c:pt idx="61">
                  <c:v>2008.0</c:v>
                </c:pt>
                <c:pt idx="62">
                  <c:v>2009.0</c:v>
                </c:pt>
                <c:pt idx="63">
                  <c:v>2010.0</c:v>
                </c:pt>
              </c:numCache>
            </c:numRef>
          </c:cat>
          <c:val>
            <c:numRef>
              <c:f>'[7 ARP and OCC.xlsx]Foglio1'!$N$5:$N$68</c:f>
              <c:numCache>
                <c:formatCode>0.00</c:formatCode>
                <c:ptCount val="64"/>
                <c:pt idx="0">
                  <c:v>1.034062694629352</c:v>
                </c:pt>
                <c:pt idx="1">
                  <c:v>1.019255923591958</c:v>
                </c:pt>
                <c:pt idx="2">
                  <c:v>1.118366063002741</c:v>
                </c:pt>
                <c:pt idx="3">
                  <c:v>1.191109499485637</c:v>
                </c:pt>
                <c:pt idx="4">
                  <c:v>1.066482126485331</c:v>
                </c:pt>
                <c:pt idx="5">
                  <c:v>0.994221949633435</c:v>
                </c:pt>
                <c:pt idx="6">
                  <c:v>0.974404662903399</c:v>
                </c:pt>
                <c:pt idx="7">
                  <c:v>1.07571627436762</c:v>
                </c:pt>
                <c:pt idx="8">
                  <c:v>1.039573638664603</c:v>
                </c:pt>
                <c:pt idx="9">
                  <c:v>0.919099035792447</c:v>
                </c:pt>
                <c:pt idx="10">
                  <c:v>1.01038838779736</c:v>
                </c:pt>
                <c:pt idx="11">
                  <c:v>1.091467763346261</c:v>
                </c:pt>
                <c:pt idx="12">
                  <c:v>1.061346127138816</c:v>
                </c:pt>
                <c:pt idx="13">
                  <c:v>1.08470796484846</c:v>
                </c:pt>
                <c:pt idx="14">
                  <c:v>1.136182803195802</c:v>
                </c:pt>
                <c:pt idx="15">
                  <c:v>1.117692536511756</c:v>
                </c:pt>
                <c:pt idx="16">
                  <c:v>1.13874346698983</c:v>
                </c:pt>
                <c:pt idx="17">
                  <c:v>1.141490341377017</c:v>
                </c:pt>
                <c:pt idx="18">
                  <c:v>1.144251356947682</c:v>
                </c:pt>
                <c:pt idx="19">
                  <c:v>1.143278107164156</c:v>
                </c:pt>
                <c:pt idx="20">
                  <c:v>1.168473997113123</c:v>
                </c:pt>
                <c:pt idx="21">
                  <c:v>1.140956681096796</c:v>
                </c:pt>
                <c:pt idx="22">
                  <c:v>1.125502466929847</c:v>
                </c:pt>
                <c:pt idx="23">
                  <c:v>1.16959756375143</c:v>
                </c:pt>
                <c:pt idx="24">
                  <c:v>1.182970483212517</c:v>
                </c:pt>
                <c:pt idx="25">
                  <c:v>1.141424416626282</c:v>
                </c:pt>
                <c:pt idx="26">
                  <c:v>1.118948422963056</c:v>
                </c:pt>
                <c:pt idx="27">
                  <c:v>1.172542056923695</c:v>
                </c:pt>
                <c:pt idx="28">
                  <c:v>1.226057648544261</c:v>
                </c:pt>
                <c:pt idx="29">
                  <c:v>1.184945806136277</c:v>
                </c:pt>
                <c:pt idx="30">
                  <c:v>1.160644311506548</c:v>
                </c:pt>
                <c:pt idx="31">
                  <c:v>1.153931384080026</c:v>
                </c:pt>
                <c:pt idx="32">
                  <c:v>1.17993344597351</c:v>
                </c:pt>
                <c:pt idx="33">
                  <c:v>1.278943661004661</c:v>
                </c:pt>
                <c:pt idx="34">
                  <c:v>1.326306815215053</c:v>
                </c:pt>
                <c:pt idx="35">
                  <c:v>1.420864247238099</c:v>
                </c:pt>
                <c:pt idx="36">
                  <c:v>1.50117535541904</c:v>
                </c:pt>
                <c:pt idx="37">
                  <c:v>1.471958728239805</c:v>
                </c:pt>
                <c:pt idx="38">
                  <c:v>1.486318297412331</c:v>
                </c:pt>
                <c:pt idx="39">
                  <c:v>1.380122702931916</c:v>
                </c:pt>
                <c:pt idx="40">
                  <c:v>1.461937261988001</c:v>
                </c:pt>
                <c:pt idx="41">
                  <c:v>1.40952127606271</c:v>
                </c:pt>
                <c:pt idx="42">
                  <c:v>1.375591965537596</c:v>
                </c:pt>
                <c:pt idx="43">
                  <c:v>1.497388751925155</c:v>
                </c:pt>
                <c:pt idx="44">
                  <c:v>1.57943843592059</c:v>
                </c:pt>
                <c:pt idx="45">
                  <c:v>1.615690691324499</c:v>
                </c:pt>
                <c:pt idx="46">
                  <c:v>1.654896945797638</c:v>
                </c:pt>
                <c:pt idx="47">
                  <c:v>1.65182755638964</c:v>
                </c:pt>
                <c:pt idx="48">
                  <c:v>1.684999207288349</c:v>
                </c:pt>
                <c:pt idx="49">
                  <c:v>1.746763019084496</c:v>
                </c:pt>
                <c:pt idx="50">
                  <c:v>1.74891206680233</c:v>
                </c:pt>
                <c:pt idx="51">
                  <c:v>1.74679724560665</c:v>
                </c:pt>
                <c:pt idx="52">
                  <c:v>1.768016794209218</c:v>
                </c:pt>
                <c:pt idx="53">
                  <c:v>1.754656125636241</c:v>
                </c:pt>
                <c:pt idx="54">
                  <c:v>2.02490246731756</c:v>
                </c:pt>
                <c:pt idx="55">
                  <c:v>2.11401413235017</c:v>
                </c:pt>
                <c:pt idx="56">
                  <c:v>2.154735173907799</c:v>
                </c:pt>
                <c:pt idx="57">
                  <c:v>2.12460176850535</c:v>
                </c:pt>
                <c:pt idx="58">
                  <c:v>2.104223309769802</c:v>
                </c:pt>
                <c:pt idx="59">
                  <c:v>2.068806642067027</c:v>
                </c:pt>
                <c:pt idx="60">
                  <c:v>2.147315835804301</c:v>
                </c:pt>
                <c:pt idx="61">
                  <c:v>2.357845841265202</c:v>
                </c:pt>
                <c:pt idx="62">
                  <c:v>2.674454333900792</c:v>
                </c:pt>
                <c:pt idx="63">
                  <c:v>2.855303505991649</c:v>
                </c:pt>
              </c:numCache>
            </c:numRef>
          </c:val>
          <c:smooth val="0"/>
        </c:ser>
        <c:dLbls>
          <c:showLegendKey val="0"/>
          <c:showVal val="0"/>
          <c:showCatName val="0"/>
          <c:showSerName val="0"/>
          <c:showPercent val="0"/>
          <c:showBubbleSize val="0"/>
        </c:dLbls>
        <c:marker val="1"/>
        <c:smooth val="0"/>
        <c:axId val="2064676280"/>
        <c:axId val="2064672920"/>
      </c:lineChart>
      <c:catAx>
        <c:axId val="2107827640"/>
        <c:scaling>
          <c:orientation val="minMax"/>
        </c:scaling>
        <c:delete val="0"/>
        <c:axPos val="b"/>
        <c:numFmt formatCode="General" sourceLinked="1"/>
        <c:majorTickMark val="out"/>
        <c:minorTickMark val="none"/>
        <c:tickLblPos val="nextTo"/>
        <c:crossAx val="2064659848"/>
        <c:crosses val="autoZero"/>
        <c:auto val="1"/>
        <c:lblAlgn val="ctr"/>
        <c:lblOffset val="100"/>
        <c:noMultiLvlLbl val="0"/>
      </c:catAx>
      <c:valAx>
        <c:axId val="2064659848"/>
        <c:scaling>
          <c:orientation val="minMax"/>
        </c:scaling>
        <c:delete val="0"/>
        <c:axPos val="l"/>
        <c:majorGridlines/>
        <c:numFmt formatCode="General" sourceLinked="1"/>
        <c:majorTickMark val="out"/>
        <c:minorTickMark val="none"/>
        <c:tickLblPos val="nextTo"/>
        <c:crossAx val="2107827640"/>
        <c:crosses val="autoZero"/>
        <c:crossBetween val="between"/>
      </c:valAx>
      <c:valAx>
        <c:axId val="2064672920"/>
        <c:scaling>
          <c:orientation val="minMax"/>
        </c:scaling>
        <c:delete val="0"/>
        <c:axPos val="r"/>
        <c:numFmt formatCode="0.00" sourceLinked="1"/>
        <c:majorTickMark val="out"/>
        <c:minorTickMark val="none"/>
        <c:tickLblPos val="nextTo"/>
        <c:crossAx val="2064676280"/>
        <c:crosses val="max"/>
        <c:crossBetween val="between"/>
      </c:valAx>
      <c:catAx>
        <c:axId val="2064676280"/>
        <c:scaling>
          <c:orientation val="minMax"/>
        </c:scaling>
        <c:delete val="1"/>
        <c:axPos val="b"/>
        <c:numFmt formatCode="General" sourceLinked="1"/>
        <c:majorTickMark val="out"/>
        <c:minorTickMark val="none"/>
        <c:tickLblPos val="nextTo"/>
        <c:crossAx val="2064672920"/>
        <c:crosses val="autoZero"/>
        <c:auto val="1"/>
        <c:lblAlgn val="ctr"/>
        <c:lblOffset val="100"/>
        <c:noMultiLvlLbl val="0"/>
      </c:catAx>
    </c:plotArea>
    <c:legend>
      <c:legendPos val="b"/>
      <c:layout/>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7"/>
    </mc:Choice>
    <mc:Fallback>
      <c:style val="17"/>
    </mc:Fallback>
  </mc:AlternateContent>
  <c:chart>
    <c:autoTitleDeleted val="0"/>
    <c:plotArea>
      <c:layout/>
      <c:lineChart>
        <c:grouping val="standard"/>
        <c:varyColors val="0"/>
        <c:ser>
          <c:idx val="2"/>
          <c:order val="2"/>
          <c:tx>
            <c:strRef>
              <c:f>'[Non-Fin ARP, prod ARP mony supply.xlsx]Sheet1'!$H$7</c:f>
              <c:strCache>
                <c:ptCount val="1"/>
                <c:pt idx="0">
                  <c:v>M1+M2 LHS</c:v>
                </c:pt>
              </c:strCache>
            </c:strRef>
          </c:tx>
          <c:spPr>
            <a:ln w="19050" cmpd="sng"/>
          </c:spPr>
          <c:marker>
            <c:symbol val="none"/>
          </c:marker>
          <c:cat>
            <c:numRef>
              <c:f>'[Non-Fin ARP, prod ARP mony supply.xlsx]Sheet1'!$E$8:$E$59</c:f>
              <c:numCache>
                <c:formatCode>General</c:formatCode>
                <c:ptCount val="52"/>
                <c:pt idx="0">
                  <c:v>1959.0</c:v>
                </c:pt>
                <c:pt idx="1">
                  <c:v>1960.0</c:v>
                </c:pt>
                <c:pt idx="2">
                  <c:v>1961.0</c:v>
                </c:pt>
                <c:pt idx="3">
                  <c:v>1962.0</c:v>
                </c:pt>
                <c:pt idx="4">
                  <c:v>1963.0</c:v>
                </c:pt>
                <c:pt idx="5">
                  <c:v>1964.0</c:v>
                </c:pt>
                <c:pt idx="6">
                  <c:v>1965.0</c:v>
                </c:pt>
                <c:pt idx="7">
                  <c:v>1966.0</c:v>
                </c:pt>
                <c:pt idx="8">
                  <c:v>1967.0</c:v>
                </c:pt>
                <c:pt idx="9">
                  <c:v>1968.0</c:v>
                </c:pt>
                <c:pt idx="10">
                  <c:v>1969.0</c:v>
                </c:pt>
                <c:pt idx="11">
                  <c:v>1970.0</c:v>
                </c:pt>
                <c:pt idx="12">
                  <c:v>1971.0</c:v>
                </c:pt>
                <c:pt idx="13">
                  <c:v>1972.0</c:v>
                </c:pt>
                <c:pt idx="14">
                  <c:v>1973.0</c:v>
                </c:pt>
                <c:pt idx="15">
                  <c:v>1974.0</c:v>
                </c:pt>
                <c:pt idx="16">
                  <c:v>1975.0</c:v>
                </c:pt>
                <c:pt idx="17">
                  <c:v>1976.0</c:v>
                </c:pt>
                <c:pt idx="18">
                  <c:v>1977.0</c:v>
                </c:pt>
                <c:pt idx="19">
                  <c:v>1978.0</c:v>
                </c:pt>
                <c:pt idx="20">
                  <c:v>1979.0</c:v>
                </c:pt>
                <c:pt idx="21">
                  <c:v>1980.0</c:v>
                </c:pt>
                <c:pt idx="22">
                  <c:v>1981.0</c:v>
                </c:pt>
                <c:pt idx="23">
                  <c:v>1982.0</c:v>
                </c:pt>
                <c:pt idx="24">
                  <c:v>1983.0</c:v>
                </c:pt>
                <c:pt idx="25">
                  <c:v>1984.0</c:v>
                </c:pt>
                <c:pt idx="26">
                  <c:v>1985.0</c:v>
                </c:pt>
                <c:pt idx="27">
                  <c:v>1986.0</c:v>
                </c:pt>
                <c:pt idx="28">
                  <c:v>1987.0</c:v>
                </c:pt>
                <c:pt idx="29">
                  <c:v>1988.0</c:v>
                </c:pt>
                <c:pt idx="30">
                  <c:v>1989.0</c:v>
                </c:pt>
                <c:pt idx="31">
                  <c:v>1990.0</c:v>
                </c:pt>
                <c:pt idx="32">
                  <c:v>1991.0</c:v>
                </c:pt>
                <c:pt idx="33">
                  <c:v>1992.0</c:v>
                </c:pt>
                <c:pt idx="34">
                  <c:v>1993.0</c:v>
                </c:pt>
                <c:pt idx="35">
                  <c:v>1994.0</c:v>
                </c:pt>
                <c:pt idx="36">
                  <c:v>1995.0</c:v>
                </c:pt>
                <c:pt idx="37">
                  <c:v>1996.0</c:v>
                </c:pt>
                <c:pt idx="38">
                  <c:v>1997.0</c:v>
                </c:pt>
                <c:pt idx="39">
                  <c:v>1998.0</c:v>
                </c:pt>
                <c:pt idx="40">
                  <c:v>1999.0</c:v>
                </c:pt>
                <c:pt idx="41">
                  <c:v>2000.0</c:v>
                </c:pt>
                <c:pt idx="42">
                  <c:v>2001.0</c:v>
                </c:pt>
                <c:pt idx="43">
                  <c:v>2002.0</c:v>
                </c:pt>
                <c:pt idx="44">
                  <c:v>2003.0</c:v>
                </c:pt>
                <c:pt idx="45">
                  <c:v>2004.0</c:v>
                </c:pt>
                <c:pt idx="46">
                  <c:v>2005.0</c:v>
                </c:pt>
                <c:pt idx="47">
                  <c:v>2006.0</c:v>
                </c:pt>
                <c:pt idx="48">
                  <c:v>2007.0</c:v>
                </c:pt>
                <c:pt idx="49">
                  <c:v>2008.0</c:v>
                </c:pt>
                <c:pt idx="50">
                  <c:v>2009.0</c:v>
                </c:pt>
                <c:pt idx="51">
                  <c:v>2010.0</c:v>
                </c:pt>
              </c:numCache>
            </c:numRef>
          </c:cat>
          <c:val>
            <c:numRef>
              <c:f>'[Non-Fin ARP, prod ARP mony supply.xlsx]Sheet1'!$H$8:$H$59</c:f>
              <c:numCache>
                <c:formatCode>General</c:formatCode>
                <c:ptCount val="52"/>
                <c:pt idx="0">
                  <c:v>437.7</c:v>
                </c:pt>
                <c:pt idx="1">
                  <c:v>453.1</c:v>
                </c:pt>
                <c:pt idx="2">
                  <c:v>480.7</c:v>
                </c:pt>
                <c:pt idx="3">
                  <c:v>510.5</c:v>
                </c:pt>
                <c:pt idx="4">
                  <c:v>546.5</c:v>
                </c:pt>
                <c:pt idx="5">
                  <c:v>551.9000000000001</c:v>
                </c:pt>
                <c:pt idx="6">
                  <c:v>627.0</c:v>
                </c:pt>
                <c:pt idx="7">
                  <c:v>652.2</c:v>
                </c:pt>
                <c:pt idx="8">
                  <c:v>708.1</c:v>
                </c:pt>
                <c:pt idx="9">
                  <c:v>764.2</c:v>
                </c:pt>
                <c:pt idx="10">
                  <c:v>791.8</c:v>
                </c:pt>
                <c:pt idx="11">
                  <c:v>840.9</c:v>
                </c:pt>
                <c:pt idx="12">
                  <c:v>938.6</c:v>
                </c:pt>
                <c:pt idx="13">
                  <c:v>1051.5</c:v>
                </c:pt>
                <c:pt idx="14">
                  <c:v>1118.4</c:v>
                </c:pt>
                <c:pt idx="15">
                  <c:v>1176.3</c:v>
                </c:pt>
                <c:pt idx="16">
                  <c:v>1303.3</c:v>
                </c:pt>
                <c:pt idx="17">
                  <c:v>1458.2</c:v>
                </c:pt>
                <c:pt idx="18">
                  <c:v>1601.2</c:v>
                </c:pt>
                <c:pt idx="19">
                  <c:v>1723.3</c:v>
                </c:pt>
                <c:pt idx="20">
                  <c:v>1855.5</c:v>
                </c:pt>
                <c:pt idx="21">
                  <c:v>2008.3</c:v>
                </c:pt>
                <c:pt idx="22">
                  <c:v>2192.2</c:v>
                </c:pt>
                <c:pt idx="23">
                  <c:v>2381.9</c:v>
                </c:pt>
                <c:pt idx="24">
                  <c:v>2645.6</c:v>
                </c:pt>
                <c:pt idx="25">
                  <c:v>2858.9</c:v>
                </c:pt>
                <c:pt idx="26">
                  <c:v>3112.8</c:v>
                </c:pt>
                <c:pt idx="27">
                  <c:v>3454.3</c:v>
                </c:pt>
                <c:pt idx="28">
                  <c:v>3579.6</c:v>
                </c:pt>
                <c:pt idx="29">
                  <c:v>3777.8</c:v>
                </c:pt>
                <c:pt idx="30">
                  <c:v>3947.8</c:v>
                </c:pt>
                <c:pt idx="31">
                  <c:v>4097.6</c:v>
                </c:pt>
                <c:pt idx="32">
                  <c:v>4268.9</c:v>
                </c:pt>
                <c:pt idx="33">
                  <c:v>4448.3</c:v>
                </c:pt>
                <c:pt idx="34">
                  <c:v>4602.6</c:v>
                </c:pt>
                <c:pt idx="35">
                  <c:v>4636.5</c:v>
                </c:pt>
                <c:pt idx="36">
                  <c:v>4755.7</c:v>
                </c:pt>
                <c:pt idx="37">
                  <c:v>4888.1</c:v>
                </c:pt>
                <c:pt idx="38">
                  <c:v>5092.9</c:v>
                </c:pt>
                <c:pt idx="39">
                  <c:v>5456.200000000001</c:v>
                </c:pt>
                <c:pt idx="40">
                  <c:v>5740.700000000001</c:v>
                </c:pt>
                <c:pt idx="41">
                  <c:v>5985.9</c:v>
                </c:pt>
                <c:pt idx="42">
                  <c:v>6583.6</c:v>
                </c:pt>
                <c:pt idx="43">
                  <c:v>6959.8</c:v>
                </c:pt>
                <c:pt idx="44">
                  <c:v>7343.4</c:v>
                </c:pt>
                <c:pt idx="45">
                  <c:v>7764.4</c:v>
                </c:pt>
                <c:pt idx="46">
                  <c:v>8029.3</c:v>
                </c:pt>
                <c:pt idx="47">
                  <c:v>8404.699999999983</c:v>
                </c:pt>
                <c:pt idx="48">
                  <c:v>8822.5</c:v>
                </c:pt>
                <c:pt idx="49">
                  <c:v>9787.9</c:v>
                </c:pt>
                <c:pt idx="50">
                  <c:v>10182.0</c:v>
                </c:pt>
                <c:pt idx="51">
                  <c:v>10618.1</c:v>
                </c:pt>
              </c:numCache>
            </c:numRef>
          </c:val>
          <c:smooth val="0"/>
        </c:ser>
        <c:dLbls>
          <c:showLegendKey val="0"/>
          <c:showVal val="0"/>
          <c:showCatName val="0"/>
          <c:showSerName val="0"/>
          <c:showPercent val="0"/>
          <c:showBubbleSize val="0"/>
        </c:dLbls>
        <c:marker val="1"/>
        <c:smooth val="0"/>
        <c:axId val="2106166488"/>
        <c:axId val="2021954360"/>
      </c:lineChart>
      <c:lineChart>
        <c:grouping val="standard"/>
        <c:varyColors val="0"/>
        <c:ser>
          <c:idx val="0"/>
          <c:order val="0"/>
          <c:tx>
            <c:strRef>
              <c:f>'[Non-Fin ARP, prod ARP mony supply.xlsx]Sheet1'!$F$7</c:f>
              <c:strCache>
                <c:ptCount val="1"/>
                <c:pt idx="0">
                  <c:v>CE-ARP</c:v>
                </c:pt>
              </c:strCache>
            </c:strRef>
          </c:tx>
          <c:spPr>
            <a:ln w="19050" cmpd="sng">
              <a:prstDash val="sysDash"/>
            </a:ln>
          </c:spPr>
          <c:marker>
            <c:symbol val="none"/>
          </c:marker>
          <c:cat>
            <c:numRef>
              <c:f>'[Non-Fin ARP, prod ARP mony supply.xlsx]Sheet1'!$E$8:$E$59</c:f>
              <c:numCache>
                <c:formatCode>General</c:formatCode>
                <c:ptCount val="52"/>
                <c:pt idx="0">
                  <c:v>1959.0</c:v>
                </c:pt>
                <c:pt idx="1">
                  <c:v>1960.0</c:v>
                </c:pt>
                <c:pt idx="2">
                  <c:v>1961.0</c:v>
                </c:pt>
                <c:pt idx="3">
                  <c:v>1962.0</c:v>
                </c:pt>
                <c:pt idx="4">
                  <c:v>1963.0</c:v>
                </c:pt>
                <c:pt idx="5">
                  <c:v>1964.0</c:v>
                </c:pt>
                <c:pt idx="6">
                  <c:v>1965.0</c:v>
                </c:pt>
                <c:pt idx="7">
                  <c:v>1966.0</c:v>
                </c:pt>
                <c:pt idx="8">
                  <c:v>1967.0</c:v>
                </c:pt>
                <c:pt idx="9">
                  <c:v>1968.0</c:v>
                </c:pt>
                <c:pt idx="10">
                  <c:v>1969.0</c:v>
                </c:pt>
                <c:pt idx="11">
                  <c:v>1970.0</c:v>
                </c:pt>
                <c:pt idx="12">
                  <c:v>1971.0</c:v>
                </c:pt>
                <c:pt idx="13">
                  <c:v>1972.0</c:v>
                </c:pt>
                <c:pt idx="14">
                  <c:v>1973.0</c:v>
                </c:pt>
                <c:pt idx="15">
                  <c:v>1974.0</c:v>
                </c:pt>
                <c:pt idx="16">
                  <c:v>1975.0</c:v>
                </c:pt>
                <c:pt idx="17">
                  <c:v>1976.0</c:v>
                </c:pt>
                <c:pt idx="18">
                  <c:v>1977.0</c:v>
                </c:pt>
                <c:pt idx="19">
                  <c:v>1978.0</c:v>
                </c:pt>
                <c:pt idx="20">
                  <c:v>1979.0</c:v>
                </c:pt>
                <c:pt idx="21">
                  <c:v>1980.0</c:v>
                </c:pt>
                <c:pt idx="22">
                  <c:v>1981.0</c:v>
                </c:pt>
                <c:pt idx="23">
                  <c:v>1982.0</c:v>
                </c:pt>
                <c:pt idx="24">
                  <c:v>1983.0</c:v>
                </c:pt>
                <c:pt idx="25">
                  <c:v>1984.0</c:v>
                </c:pt>
                <c:pt idx="26">
                  <c:v>1985.0</c:v>
                </c:pt>
                <c:pt idx="27">
                  <c:v>1986.0</c:v>
                </c:pt>
                <c:pt idx="28">
                  <c:v>1987.0</c:v>
                </c:pt>
                <c:pt idx="29">
                  <c:v>1988.0</c:v>
                </c:pt>
                <c:pt idx="30">
                  <c:v>1989.0</c:v>
                </c:pt>
                <c:pt idx="31">
                  <c:v>1990.0</c:v>
                </c:pt>
                <c:pt idx="32">
                  <c:v>1991.0</c:v>
                </c:pt>
                <c:pt idx="33">
                  <c:v>1992.0</c:v>
                </c:pt>
                <c:pt idx="34">
                  <c:v>1993.0</c:v>
                </c:pt>
                <c:pt idx="35">
                  <c:v>1994.0</c:v>
                </c:pt>
                <c:pt idx="36">
                  <c:v>1995.0</c:v>
                </c:pt>
                <c:pt idx="37">
                  <c:v>1996.0</c:v>
                </c:pt>
                <c:pt idx="38">
                  <c:v>1997.0</c:v>
                </c:pt>
                <c:pt idx="39">
                  <c:v>1998.0</c:v>
                </c:pt>
                <c:pt idx="40">
                  <c:v>1999.0</c:v>
                </c:pt>
                <c:pt idx="41">
                  <c:v>2000.0</c:v>
                </c:pt>
                <c:pt idx="42">
                  <c:v>2001.0</c:v>
                </c:pt>
                <c:pt idx="43">
                  <c:v>2002.0</c:v>
                </c:pt>
                <c:pt idx="44">
                  <c:v>2003.0</c:v>
                </c:pt>
                <c:pt idx="45">
                  <c:v>2004.0</c:v>
                </c:pt>
                <c:pt idx="46">
                  <c:v>2005.0</c:v>
                </c:pt>
                <c:pt idx="47">
                  <c:v>2006.0</c:v>
                </c:pt>
                <c:pt idx="48">
                  <c:v>2007.0</c:v>
                </c:pt>
                <c:pt idx="49">
                  <c:v>2008.0</c:v>
                </c:pt>
                <c:pt idx="50">
                  <c:v>2009.0</c:v>
                </c:pt>
                <c:pt idx="51">
                  <c:v>2010.0</c:v>
                </c:pt>
              </c:numCache>
            </c:numRef>
          </c:cat>
          <c:val>
            <c:numRef>
              <c:f>'[Non-Fin ARP, prod ARP mony supply.xlsx]Sheet1'!$F$8:$F$59</c:f>
              <c:numCache>
                <c:formatCode>General</c:formatCode>
                <c:ptCount val="52"/>
                <c:pt idx="0">
                  <c:v>11.3</c:v>
                </c:pt>
                <c:pt idx="1">
                  <c:v>11.06</c:v>
                </c:pt>
                <c:pt idx="2">
                  <c:v>10.7</c:v>
                </c:pt>
                <c:pt idx="3">
                  <c:v>11.12</c:v>
                </c:pt>
                <c:pt idx="4">
                  <c:v>10.87</c:v>
                </c:pt>
                <c:pt idx="5">
                  <c:v>10.99</c:v>
                </c:pt>
                <c:pt idx="6">
                  <c:v>11.09</c:v>
                </c:pt>
                <c:pt idx="7">
                  <c:v>11.2</c:v>
                </c:pt>
                <c:pt idx="8">
                  <c:v>10.68</c:v>
                </c:pt>
                <c:pt idx="9">
                  <c:v>10.81</c:v>
                </c:pt>
                <c:pt idx="10">
                  <c:v>10.9</c:v>
                </c:pt>
                <c:pt idx="11">
                  <c:v>10.26</c:v>
                </c:pt>
                <c:pt idx="12">
                  <c:v>10.23</c:v>
                </c:pt>
                <c:pt idx="13">
                  <c:v>10.86</c:v>
                </c:pt>
                <c:pt idx="14">
                  <c:v>11.0</c:v>
                </c:pt>
                <c:pt idx="15">
                  <c:v>10.099</c:v>
                </c:pt>
                <c:pt idx="16">
                  <c:v>9.5</c:v>
                </c:pt>
                <c:pt idx="17">
                  <c:v>10.76</c:v>
                </c:pt>
                <c:pt idx="18">
                  <c:v>10.81</c:v>
                </c:pt>
                <c:pt idx="19">
                  <c:v>11.0</c:v>
                </c:pt>
                <c:pt idx="20">
                  <c:v>10.63</c:v>
                </c:pt>
                <c:pt idx="21">
                  <c:v>9.8</c:v>
                </c:pt>
                <c:pt idx="22">
                  <c:v>9.9</c:v>
                </c:pt>
                <c:pt idx="23">
                  <c:v>9.33</c:v>
                </c:pt>
                <c:pt idx="24">
                  <c:v>9.25</c:v>
                </c:pt>
                <c:pt idx="25">
                  <c:v>9.710000000000001</c:v>
                </c:pt>
                <c:pt idx="26">
                  <c:v>9.36</c:v>
                </c:pt>
                <c:pt idx="27">
                  <c:v>9.729999999999998</c:v>
                </c:pt>
                <c:pt idx="28">
                  <c:v>8.92</c:v>
                </c:pt>
                <c:pt idx="29">
                  <c:v>9.44</c:v>
                </c:pt>
                <c:pt idx="30">
                  <c:v>9.66</c:v>
                </c:pt>
                <c:pt idx="31">
                  <c:v>8.84</c:v>
                </c:pt>
                <c:pt idx="32">
                  <c:v>8.630000000000001</c:v>
                </c:pt>
                <c:pt idx="33">
                  <c:v>8.76</c:v>
                </c:pt>
                <c:pt idx="34">
                  <c:v>8.61</c:v>
                </c:pt>
                <c:pt idx="35">
                  <c:v>8.77</c:v>
                </c:pt>
                <c:pt idx="36">
                  <c:v>8.720000000000001</c:v>
                </c:pt>
                <c:pt idx="37">
                  <c:v>8.62</c:v>
                </c:pt>
                <c:pt idx="38">
                  <c:v>8.710000000000001</c:v>
                </c:pt>
                <c:pt idx="39">
                  <c:v>8.75</c:v>
                </c:pt>
                <c:pt idx="40">
                  <c:v>8.45</c:v>
                </c:pt>
                <c:pt idx="41">
                  <c:v>8.44</c:v>
                </c:pt>
                <c:pt idx="42">
                  <c:v>7.29</c:v>
                </c:pt>
                <c:pt idx="43">
                  <c:v>7.21</c:v>
                </c:pt>
                <c:pt idx="44">
                  <c:v>7.149999999999999</c:v>
                </c:pt>
                <c:pt idx="45">
                  <c:v>7.25</c:v>
                </c:pt>
                <c:pt idx="46">
                  <c:v>7.3</c:v>
                </c:pt>
                <c:pt idx="47">
                  <c:v>7.54</c:v>
                </c:pt>
                <c:pt idx="48">
                  <c:v>7.39</c:v>
                </c:pt>
                <c:pt idx="49">
                  <c:v>6.83</c:v>
                </c:pt>
                <c:pt idx="50">
                  <c:v>5.99</c:v>
                </c:pt>
                <c:pt idx="51">
                  <c:v>5.94</c:v>
                </c:pt>
              </c:numCache>
            </c:numRef>
          </c:val>
          <c:smooth val="0"/>
        </c:ser>
        <c:ser>
          <c:idx val="1"/>
          <c:order val="1"/>
          <c:tx>
            <c:strRef>
              <c:f>'[Non-Fin ARP, prod ARP mony supply.xlsx]Sheet1'!$G$7</c:f>
              <c:strCache>
                <c:ptCount val="1"/>
                <c:pt idx="0">
                  <c:v>ARP</c:v>
                </c:pt>
              </c:strCache>
            </c:strRef>
          </c:tx>
          <c:spPr>
            <a:ln w="12700" cmpd="sng"/>
          </c:spPr>
          <c:marker>
            <c:symbol val="none"/>
          </c:marker>
          <c:cat>
            <c:numRef>
              <c:f>'[Non-Fin ARP, prod ARP mony supply.xlsx]Sheet1'!$E$8:$E$59</c:f>
              <c:numCache>
                <c:formatCode>General</c:formatCode>
                <c:ptCount val="52"/>
                <c:pt idx="0">
                  <c:v>1959.0</c:v>
                </c:pt>
                <c:pt idx="1">
                  <c:v>1960.0</c:v>
                </c:pt>
                <c:pt idx="2">
                  <c:v>1961.0</c:v>
                </c:pt>
                <c:pt idx="3">
                  <c:v>1962.0</c:v>
                </c:pt>
                <c:pt idx="4">
                  <c:v>1963.0</c:v>
                </c:pt>
                <c:pt idx="5">
                  <c:v>1964.0</c:v>
                </c:pt>
                <c:pt idx="6">
                  <c:v>1965.0</c:v>
                </c:pt>
                <c:pt idx="7">
                  <c:v>1966.0</c:v>
                </c:pt>
                <c:pt idx="8">
                  <c:v>1967.0</c:v>
                </c:pt>
                <c:pt idx="9">
                  <c:v>1968.0</c:v>
                </c:pt>
                <c:pt idx="10">
                  <c:v>1969.0</c:v>
                </c:pt>
                <c:pt idx="11">
                  <c:v>1970.0</c:v>
                </c:pt>
                <c:pt idx="12">
                  <c:v>1971.0</c:v>
                </c:pt>
                <c:pt idx="13">
                  <c:v>1972.0</c:v>
                </c:pt>
                <c:pt idx="14">
                  <c:v>1973.0</c:v>
                </c:pt>
                <c:pt idx="15">
                  <c:v>1974.0</c:v>
                </c:pt>
                <c:pt idx="16">
                  <c:v>1975.0</c:v>
                </c:pt>
                <c:pt idx="17">
                  <c:v>1976.0</c:v>
                </c:pt>
                <c:pt idx="18">
                  <c:v>1977.0</c:v>
                </c:pt>
                <c:pt idx="19">
                  <c:v>1978.0</c:v>
                </c:pt>
                <c:pt idx="20">
                  <c:v>1979.0</c:v>
                </c:pt>
                <c:pt idx="21">
                  <c:v>1980.0</c:v>
                </c:pt>
                <c:pt idx="22">
                  <c:v>1981.0</c:v>
                </c:pt>
                <c:pt idx="23">
                  <c:v>1982.0</c:v>
                </c:pt>
                <c:pt idx="24">
                  <c:v>1983.0</c:v>
                </c:pt>
                <c:pt idx="25">
                  <c:v>1984.0</c:v>
                </c:pt>
                <c:pt idx="26">
                  <c:v>1985.0</c:v>
                </c:pt>
                <c:pt idx="27">
                  <c:v>1986.0</c:v>
                </c:pt>
                <c:pt idx="28">
                  <c:v>1987.0</c:v>
                </c:pt>
                <c:pt idx="29">
                  <c:v>1988.0</c:v>
                </c:pt>
                <c:pt idx="30">
                  <c:v>1989.0</c:v>
                </c:pt>
                <c:pt idx="31">
                  <c:v>1990.0</c:v>
                </c:pt>
                <c:pt idx="32">
                  <c:v>1991.0</c:v>
                </c:pt>
                <c:pt idx="33">
                  <c:v>1992.0</c:v>
                </c:pt>
                <c:pt idx="34">
                  <c:v>1993.0</c:v>
                </c:pt>
                <c:pt idx="35">
                  <c:v>1994.0</c:v>
                </c:pt>
                <c:pt idx="36">
                  <c:v>1995.0</c:v>
                </c:pt>
                <c:pt idx="37">
                  <c:v>1996.0</c:v>
                </c:pt>
                <c:pt idx="38">
                  <c:v>1997.0</c:v>
                </c:pt>
                <c:pt idx="39">
                  <c:v>1998.0</c:v>
                </c:pt>
                <c:pt idx="40">
                  <c:v>1999.0</c:v>
                </c:pt>
                <c:pt idx="41">
                  <c:v>2000.0</c:v>
                </c:pt>
                <c:pt idx="42">
                  <c:v>2001.0</c:v>
                </c:pt>
                <c:pt idx="43">
                  <c:v>2002.0</c:v>
                </c:pt>
                <c:pt idx="44">
                  <c:v>2003.0</c:v>
                </c:pt>
                <c:pt idx="45">
                  <c:v>2004.0</c:v>
                </c:pt>
                <c:pt idx="46">
                  <c:v>2005.0</c:v>
                </c:pt>
                <c:pt idx="47">
                  <c:v>2006.0</c:v>
                </c:pt>
                <c:pt idx="48">
                  <c:v>2007.0</c:v>
                </c:pt>
                <c:pt idx="49">
                  <c:v>2008.0</c:v>
                </c:pt>
                <c:pt idx="50">
                  <c:v>2009.0</c:v>
                </c:pt>
                <c:pt idx="51">
                  <c:v>2010.0</c:v>
                </c:pt>
              </c:numCache>
            </c:numRef>
          </c:cat>
          <c:val>
            <c:numRef>
              <c:f>'[Non-Fin ARP, prod ARP mony supply.xlsx]Sheet1'!$G$8:$G$59</c:f>
              <c:numCache>
                <c:formatCode>General</c:formatCode>
                <c:ptCount val="52"/>
                <c:pt idx="0">
                  <c:v>12.51</c:v>
                </c:pt>
                <c:pt idx="1">
                  <c:v>10.81</c:v>
                </c:pt>
                <c:pt idx="2">
                  <c:v>10.2</c:v>
                </c:pt>
                <c:pt idx="3">
                  <c:v>10.89</c:v>
                </c:pt>
                <c:pt idx="4">
                  <c:v>11.63</c:v>
                </c:pt>
                <c:pt idx="5">
                  <c:v>12.14</c:v>
                </c:pt>
                <c:pt idx="6">
                  <c:v>13.72</c:v>
                </c:pt>
                <c:pt idx="7">
                  <c:v>13.47</c:v>
                </c:pt>
                <c:pt idx="8">
                  <c:v>11.71</c:v>
                </c:pt>
                <c:pt idx="9">
                  <c:v>11.98</c:v>
                </c:pt>
                <c:pt idx="10">
                  <c:v>10.35</c:v>
                </c:pt>
                <c:pt idx="11">
                  <c:v>7.78</c:v>
                </c:pt>
                <c:pt idx="12">
                  <c:v>8.98</c:v>
                </c:pt>
                <c:pt idx="13">
                  <c:v>10.02</c:v>
                </c:pt>
                <c:pt idx="14">
                  <c:v>11.44</c:v>
                </c:pt>
                <c:pt idx="15">
                  <c:v>11.46</c:v>
                </c:pt>
                <c:pt idx="16">
                  <c:v>10.99</c:v>
                </c:pt>
                <c:pt idx="17">
                  <c:v>12.73</c:v>
                </c:pt>
                <c:pt idx="18">
                  <c:v>12.85</c:v>
                </c:pt>
                <c:pt idx="19">
                  <c:v>13.03</c:v>
                </c:pt>
                <c:pt idx="20">
                  <c:v>12.47</c:v>
                </c:pt>
                <c:pt idx="21">
                  <c:v>10.18</c:v>
                </c:pt>
                <c:pt idx="22">
                  <c:v>9.15</c:v>
                </c:pt>
                <c:pt idx="23">
                  <c:v>5.72</c:v>
                </c:pt>
                <c:pt idx="24">
                  <c:v>5.84</c:v>
                </c:pt>
                <c:pt idx="25">
                  <c:v>6.54</c:v>
                </c:pt>
                <c:pt idx="26">
                  <c:v>5.46</c:v>
                </c:pt>
                <c:pt idx="27">
                  <c:v>3.86</c:v>
                </c:pt>
                <c:pt idx="28">
                  <c:v>6.6</c:v>
                </c:pt>
                <c:pt idx="29">
                  <c:v>8.8</c:v>
                </c:pt>
                <c:pt idx="30">
                  <c:v>7.7</c:v>
                </c:pt>
                <c:pt idx="31">
                  <c:v>7.17</c:v>
                </c:pt>
                <c:pt idx="32">
                  <c:v>5.46</c:v>
                </c:pt>
                <c:pt idx="33">
                  <c:v>5.63</c:v>
                </c:pt>
                <c:pt idx="34">
                  <c:v>6.3</c:v>
                </c:pt>
                <c:pt idx="35">
                  <c:v>8.01</c:v>
                </c:pt>
                <c:pt idx="36">
                  <c:v>8.98</c:v>
                </c:pt>
                <c:pt idx="37">
                  <c:v>8.88</c:v>
                </c:pt>
                <c:pt idx="38">
                  <c:v>9.229999999999998</c:v>
                </c:pt>
                <c:pt idx="39">
                  <c:v>6.63</c:v>
                </c:pt>
                <c:pt idx="40">
                  <c:v>6.5</c:v>
                </c:pt>
                <c:pt idx="41">
                  <c:v>6.63</c:v>
                </c:pt>
                <c:pt idx="42">
                  <c:v>3.42</c:v>
                </c:pt>
                <c:pt idx="43">
                  <c:v>3.01</c:v>
                </c:pt>
                <c:pt idx="44">
                  <c:v>4.17</c:v>
                </c:pt>
                <c:pt idx="45">
                  <c:v>7.81</c:v>
                </c:pt>
                <c:pt idx="46">
                  <c:v>11.46</c:v>
                </c:pt>
                <c:pt idx="47">
                  <c:v>13.1</c:v>
                </c:pt>
                <c:pt idx="48">
                  <c:v>11.0</c:v>
                </c:pt>
                <c:pt idx="49">
                  <c:v>7.8</c:v>
                </c:pt>
                <c:pt idx="50">
                  <c:v>4.44</c:v>
                </c:pt>
                <c:pt idx="51">
                  <c:v>7.64</c:v>
                </c:pt>
              </c:numCache>
            </c:numRef>
          </c:val>
          <c:smooth val="0"/>
        </c:ser>
        <c:dLbls>
          <c:showLegendKey val="0"/>
          <c:showVal val="0"/>
          <c:showCatName val="0"/>
          <c:showSerName val="0"/>
          <c:showPercent val="0"/>
          <c:showBubbleSize val="0"/>
        </c:dLbls>
        <c:marker val="1"/>
        <c:smooth val="0"/>
        <c:axId val="2106167128"/>
        <c:axId val="2021773368"/>
      </c:lineChart>
      <c:catAx>
        <c:axId val="2106166488"/>
        <c:scaling>
          <c:orientation val="minMax"/>
        </c:scaling>
        <c:delete val="0"/>
        <c:axPos val="b"/>
        <c:numFmt formatCode="General" sourceLinked="1"/>
        <c:majorTickMark val="out"/>
        <c:minorTickMark val="none"/>
        <c:tickLblPos val="nextTo"/>
        <c:crossAx val="2021954360"/>
        <c:crosses val="autoZero"/>
        <c:auto val="1"/>
        <c:lblAlgn val="ctr"/>
        <c:lblOffset val="100"/>
        <c:noMultiLvlLbl val="0"/>
      </c:catAx>
      <c:valAx>
        <c:axId val="2021954360"/>
        <c:scaling>
          <c:orientation val="minMax"/>
        </c:scaling>
        <c:delete val="0"/>
        <c:axPos val="l"/>
        <c:majorGridlines/>
        <c:numFmt formatCode="General" sourceLinked="1"/>
        <c:majorTickMark val="out"/>
        <c:minorTickMark val="none"/>
        <c:tickLblPos val="nextTo"/>
        <c:crossAx val="2106166488"/>
        <c:crosses val="autoZero"/>
        <c:crossBetween val="between"/>
      </c:valAx>
      <c:valAx>
        <c:axId val="2021773368"/>
        <c:scaling>
          <c:orientation val="minMax"/>
        </c:scaling>
        <c:delete val="0"/>
        <c:axPos val="r"/>
        <c:numFmt formatCode="General" sourceLinked="1"/>
        <c:majorTickMark val="out"/>
        <c:minorTickMark val="none"/>
        <c:tickLblPos val="nextTo"/>
        <c:crossAx val="2106167128"/>
        <c:crosses val="max"/>
        <c:crossBetween val="between"/>
      </c:valAx>
      <c:catAx>
        <c:axId val="2106167128"/>
        <c:scaling>
          <c:orientation val="minMax"/>
        </c:scaling>
        <c:delete val="1"/>
        <c:axPos val="b"/>
        <c:numFmt formatCode="General" sourceLinked="1"/>
        <c:majorTickMark val="out"/>
        <c:minorTickMark val="none"/>
        <c:tickLblPos val="nextTo"/>
        <c:crossAx val="2021773368"/>
        <c:crosses val="autoZero"/>
        <c:auto val="1"/>
        <c:lblAlgn val="ctr"/>
        <c:lblOffset val="100"/>
        <c:noMultiLvlLbl val="0"/>
      </c:catAx>
    </c:plotArea>
    <c:legend>
      <c:legendPos val="b"/>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1500</TotalTime>
  <Pages>10</Pages>
  <Words>2916</Words>
  <Characters>16624</Characters>
  <Application>Microsoft Macintosh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19501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c:creator>
  <cp:keywords/>
  <dc:description/>
  <cp:lastModifiedBy>G</cp:lastModifiedBy>
  <cp:revision>50</cp:revision>
  <cp:lastPrinted>2014-04-09T20:03:00Z</cp:lastPrinted>
  <dcterms:created xsi:type="dcterms:W3CDTF">2014-04-09T20:03:00Z</dcterms:created>
  <dcterms:modified xsi:type="dcterms:W3CDTF">2014-04-13T19:48:00Z</dcterms:modified>
  <cp:category/>
</cp:coreProperties>
</file>